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00E35">
      <w:pPr>
        <w:spacing w:line="360" w:lineRule="auto"/>
        <w:ind w:firstLine="1124"/>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487DBD94">
      <w:pPr>
        <w:widowControl/>
        <w:spacing w:line="360" w:lineRule="auto"/>
        <w:rPr>
          <w:rFonts w:hint="eastAsia" w:ascii="仿宋" w:hAnsi="仿宋" w:eastAsia="仿宋" w:cs="仿宋"/>
          <w:b/>
          <w:bCs/>
          <w:color w:val="000000" w:themeColor="text1"/>
          <w:sz w:val="52"/>
          <w:szCs w:val="52"/>
          <w:highlight w:val="none"/>
          <w14:textFill>
            <w14:solidFill>
              <w14:schemeClr w14:val="tx1"/>
            </w14:solidFill>
          </w14:textFill>
        </w:rPr>
      </w:pPr>
    </w:p>
    <w:p w14:paraId="6A60F08A">
      <w:pPr>
        <w:widowControl/>
        <w:spacing w:line="480" w:lineRule="auto"/>
        <w:ind w:firstLine="480"/>
        <w:jc w:val="center"/>
        <w:rPr>
          <w:rStyle w:val="87"/>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52"/>
          <w:szCs w:val="52"/>
          <w:highlight w:val="none"/>
          <w:lang w:eastAsia="zh-CN"/>
          <w14:textFill>
            <w14:solidFill>
              <w14:schemeClr w14:val="tx1"/>
            </w14:solidFill>
          </w14:textFill>
        </w:rPr>
        <w:t>浏阳市人民医院2025年新增试剂配送服</w:t>
      </w:r>
      <w:r>
        <w:rPr>
          <w:rFonts w:hint="eastAsia" w:ascii="仿宋" w:hAnsi="仿宋" w:eastAsia="仿宋" w:cs="仿宋"/>
          <w:b/>
          <w:bCs/>
          <w:color w:val="000000" w:themeColor="text1"/>
          <w:sz w:val="52"/>
          <w:szCs w:val="52"/>
          <w:highlight w:val="none"/>
          <w:lang w:eastAsia="zh-CN"/>
          <w14:textFill>
            <w14:solidFill>
              <w14:schemeClr w14:val="tx1"/>
            </w14:solidFill>
          </w14:textFill>
        </w:rPr>
        <w:br w:type="textWrapping"/>
      </w:r>
      <w:r>
        <w:rPr>
          <w:rFonts w:hint="eastAsia" w:ascii="仿宋" w:hAnsi="仿宋" w:eastAsia="仿宋" w:cs="仿宋"/>
          <w:b/>
          <w:bCs/>
          <w:color w:val="000000" w:themeColor="text1"/>
          <w:sz w:val="52"/>
          <w:szCs w:val="52"/>
          <w:highlight w:val="none"/>
          <w:lang w:eastAsia="zh-CN"/>
          <w14:textFill>
            <w14:solidFill>
              <w14:schemeClr w14:val="tx1"/>
            </w14:solidFill>
          </w14:textFill>
        </w:rPr>
        <w:t>务（</w:t>
      </w:r>
      <w:r>
        <w:rPr>
          <w:rFonts w:hint="eastAsia" w:ascii="仿宋" w:hAnsi="仿宋" w:eastAsia="仿宋" w:cs="仿宋"/>
          <w:b/>
          <w:bCs/>
          <w:color w:val="000000" w:themeColor="text1"/>
          <w:sz w:val="52"/>
          <w:szCs w:val="52"/>
          <w:highlight w:val="none"/>
          <w:lang w:val="en-US" w:eastAsia="zh-CN"/>
          <w14:textFill>
            <w14:solidFill>
              <w14:schemeClr w14:val="tx1"/>
            </w14:solidFill>
          </w14:textFill>
        </w:rPr>
        <w:t>第二批</w:t>
      </w:r>
      <w:r>
        <w:rPr>
          <w:rFonts w:hint="eastAsia" w:ascii="仿宋" w:hAnsi="仿宋" w:eastAsia="仿宋" w:cs="仿宋"/>
          <w:b/>
          <w:bCs/>
          <w:color w:val="000000" w:themeColor="text1"/>
          <w:sz w:val="52"/>
          <w:szCs w:val="52"/>
          <w:highlight w:val="none"/>
          <w:lang w:eastAsia="zh-CN"/>
          <w14:textFill>
            <w14:solidFill>
              <w14:schemeClr w14:val="tx1"/>
            </w14:solidFill>
          </w14:textFill>
        </w:rPr>
        <w:t>）入围遴选项目</w:t>
      </w:r>
    </w:p>
    <w:p w14:paraId="23F8E0F6">
      <w:pPr>
        <w:widowControl/>
        <w:ind w:firstLine="480"/>
        <w:jc w:val="center"/>
        <w:rPr>
          <w:rStyle w:val="87"/>
          <w:rFonts w:hint="eastAsia" w:ascii="仿宋" w:hAnsi="仿宋" w:eastAsia="仿宋" w:cs="仿宋"/>
          <w:b/>
          <w:bCs/>
          <w:color w:val="000000" w:themeColor="text1"/>
          <w:sz w:val="32"/>
          <w:szCs w:val="32"/>
          <w:highlight w:val="none"/>
          <w14:textFill>
            <w14:solidFill>
              <w14:schemeClr w14:val="tx1"/>
            </w14:solidFill>
          </w14:textFill>
        </w:rPr>
      </w:pPr>
    </w:p>
    <w:p w14:paraId="1DDAF664">
      <w:pPr>
        <w:widowControl/>
        <w:ind w:firstLine="480"/>
        <w:jc w:val="center"/>
        <w:rPr>
          <w:rStyle w:val="87"/>
          <w:rFonts w:hint="eastAsia" w:ascii="仿宋" w:hAnsi="仿宋" w:eastAsia="仿宋" w:cs="仿宋"/>
          <w:b/>
          <w:bCs/>
          <w:color w:val="000000" w:themeColor="text1"/>
          <w:sz w:val="32"/>
          <w:szCs w:val="32"/>
          <w:highlight w:val="none"/>
          <w14:textFill>
            <w14:solidFill>
              <w14:schemeClr w14:val="tx1"/>
            </w14:solidFill>
          </w14:textFill>
        </w:rPr>
      </w:pPr>
    </w:p>
    <w:p w14:paraId="742B1691">
      <w:pPr>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72"/>
          <w:szCs w:val="72"/>
          <w:highlight w:val="none"/>
          <w14:textFill>
            <w14:solidFill>
              <w14:schemeClr w14:val="tx1"/>
            </w14:solidFill>
          </w14:textFill>
        </w:rPr>
        <w:t>遴选文件</w:t>
      </w:r>
    </w:p>
    <w:p w14:paraId="340DBA61">
      <w:pPr>
        <w:spacing w:line="440" w:lineRule="exact"/>
        <w:jc w:val="center"/>
        <w:rPr>
          <w:rFonts w:hint="eastAsia" w:ascii="仿宋" w:hAnsi="仿宋" w:eastAsia="仿宋" w:cs="仿宋"/>
          <w:b/>
          <w:bCs/>
          <w:color w:val="000000" w:themeColor="text1"/>
          <w:sz w:val="30"/>
          <w:szCs w:val="30"/>
          <w:highlight w:val="none"/>
          <w14:textFill>
            <w14:solidFill>
              <w14:schemeClr w14:val="tx1"/>
            </w14:solidFill>
          </w14:textFill>
        </w:rPr>
      </w:pPr>
    </w:p>
    <w:p w14:paraId="0DB3DEE7">
      <w:pPr>
        <w:spacing w:line="440" w:lineRule="exact"/>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项目编号:</w:t>
      </w:r>
      <w:r>
        <w:rPr>
          <w:rFonts w:hint="eastAsia" w:ascii="仿宋" w:hAnsi="仿宋" w:eastAsia="仿宋" w:cs="仿宋"/>
          <w:b/>
          <w:bCs/>
          <w:color w:val="000000" w:themeColor="text1"/>
          <w:sz w:val="30"/>
          <w:szCs w:val="30"/>
          <w:highlight w:val="none"/>
          <w:lang w:eastAsia="zh-CN"/>
          <w14:textFill>
            <w14:solidFill>
              <w14:schemeClr w14:val="tx1"/>
            </w14:solidFill>
          </w14:textFill>
        </w:rPr>
        <w:t>HNXW-202601047</w:t>
      </w:r>
    </w:p>
    <w:p w14:paraId="487AF838">
      <w:pPr>
        <w:spacing w:line="440" w:lineRule="exact"/>
        <w:ind w:firstLine="472" w:firstLineChars="147"/>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30914DF1">
      <w:pPr>
        <w:spacing w:line="440" w:lineRule="exact"/>
        <w:rPr>
          <w:rFonts w:hint="eastAsia" w:ascii="仿宋" w:hAnsi="仿宋" w:eastAsia="仿宋" w:cs="仿宋"/>
          <w:b/>
          <w:bCs/>
          <w:color w:val="000000" w:themeColor="text1"/>
          <w:sz w:val="32"/>
          <w:szCs w:val="32"/>
          <w:highlight w:val="none"/>
          <w14:textFill>
            <w14:solidFill>
              <w14:schemeClr w14:val="tx1"/>
            </w14:solidFill>
          </w14:textFill>
        </w:rPr>
      </w:pPr>
    </w:p>
    <w:p w14:paraId="5167E8F9">
      <w:pPr>
        <w:spacing w:line="44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1A616ACE">
      <w:pPr>
        <w:spacing w:line="44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264B2C37">
      <w:pPr>
        <w:spacing w:line="440" w:lineRule="exact"/>
        <w:rPr>
          <w:rFonts w:hint="eastAsia" w:ascii="仿宋" w:hAnsi="仿宋" w:eastAsia="仿宋" w:cs="仿宋"/>
          <w:b/>
          <w:bCs/>
          <w:color w:val="000000" w:themeColor="text1"/>
          <w:sz w:val="32"/>
          <w:szCs w:val="32"/>
          <w:highlight w:val="none"/>
          <w14:textFill>
            <w14:solidFill>
              <w14:schemeClr w14:val="tx1"/>
            </w14:solidFill>
          </w14:textFill>
        </w:rPr>
      </w:pPr>
    </w:p>
    <w:p w14:paraId="2CEC097B">
      <w:pPr>
        <w:adjustRightInd w:val="0"/>
        <w:snapToGrid w:val="0"/>
        <w:spacing w:before="48" w:beforeLines="20" w:after="48" w:afterLines="20" w:line="540" w:lineRule="exact"/>
        <w:ind w:firstLine="2096" w:firstLineChars="696"/>
        <w:rPr>
          <w:rFonts w:hint="eastAsia" w:ascii="仿宋" w:hAnsi="仿宋" w:eastAsia="仿宋" w:cs="仿宋"/>
          <w:b/>
          <w:bCs/>
          <w:color w:val="000000" w:themeColor="text1"/>
          <w:sz w:val="30"/>
          <w:szCs w:val="30"/>
          <w:highlight w:val="none"/>
          <w14:textFill>
            <w14:solidFill>
              <w14:schemeClr w14:val="tx1"/>
            </w14:solidFill>
          </w14:textFill>
        </w:rPr>
      </w:pPr>
    </w:p>
    <w:p w14:paraId="763482CE">
      <w:pPr>
        <w:tabs>
          <w:tab w:val="left" w:pos="540"/>
        </w:tabs>
        <w:adjustRightInd w:val="0"/>
        <w:snapToGrid w:val="0"/>
        <w:spacing w:before="48" w:beforeLines="20" w:after="48" w:afterLines="20" w:line="540" w:lineRule="exact"/>
        <w:rPr>
          <w:rFonts w:hint="eastAsia" w:ascii="仿宋" w:hAnsi="仿宋" w:eastAsia="仿宋" w:cs="仿宋"/>
          <w:b/>
          <w:bCs/>
          <w:color w:val="000000" w:themeColor="text1"/>
          <w:position w:val="6"/>
          <w:sz w:val="36"/>
          <w:szCs w:val="36"/>
          <w:highlight w:val="none"/>
          <w:lang w:eastAsia="zh-CN"/>
          <w14:textFill>
            <w14:solidFill>
              <w14:schemeClr w14:val="tx1"/>
            </w14:solidFill>
          </w14:textFill>
        </w:rPr>
      </w:pPr>
      <w:bookmarkStart w:id="0" w:name="_Toc270281765"/>
      <w:r>
        <w:rPr>
          <w:rFonts w:hint="eastAsia" w:ascii="仿宋" w:hAnsi="仿宋" w:eastAsia="仿宋" w:cs="仿宋"/>
          <w:b/>
          <w:bCs/>
          <w:color w:val="000000" w:themeColor="text1"/>
          <w:sz w:val="36"/>
          <w:szCs w:val="36"/>
          <w:highlight w:val="none"/>
          <w14:textFill>
            <w14:solidFill>
              <w14:schemeClr w14:val="tx1"/>
            </w14:solidFill>
          </w14:textFill>
        </w:rPr>
        <w:t>采购单位：</w:t>
      </w:r>
      <w:r>
        <w:rPr>
          <w:rFonts w:hint="eastAsia" w:ascii="仿宋" w:hAnsi="仿宋" w:eastAsia="仿宋" w:cs="仿宋"/>
          <w:b/>
          <w:bCs/>
          <w:color w:val="000000" w:themeColor="text1"/>
          <w:sz w:val="36"/>
          <w:szCs w:val="36"/>
          <w:highlight w:val="none"/>
          <w:lang w:eastAsia="zh-CN"/>
          <w14:textFill>
            <w14:solidFill>
              <w14:schemeClr w14:val="tx1"/>
            </w14:solidFill>
          </w14:textFill>
        </w:rPr>
        <w:t>浏阳市人民医院</w:t>
      </w:r>
    </w:p>
    <w:p w14:paraId="578B11D8">
      <w:pPr>
        <w:tabs>
          <w:tab w:val="left" w:pos="540"/>
        </w:tabs>
        <w:adjustRightInd w:val="0"/>
        <w:snapToGrid w:val="0"/>
        <w:spacing w:before="48" w:beforeLines="20" w:after="48" w:afterLines="20" w:line="540" w:lineRule="exact"/>
        <w:rPr>
          <w:rFonts w:hint="eastAsia" w:ascii="仿宋" w:hAnsi="仿宋" w:eastAsia="仿宋" w:cs="仿宋"/>
          <w:b/>
          <w:bCs/>
          <w:color w:val="000000" w:themeColor="text1"/>
          <w:position w:val="6"/>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采购代理机构：湖南鑫卫医药电子商务科技发展有限公司</w:t>
      </w:r>
    </w:p>
    <w:p w14:paraId="0D3872CC">
      <w:pPr>
        <w:spacing w:before="48" w:beforeLines="20" w:after="48" w:afterLines="20" w:line="800" w:lineRule="exact"/>
        <w:jc w:val="center"/>
        <w:textAlignment w:val="center"/>
        <w:rPr>
          <w:rFonts w:hint="eastAsia" w:ascii="仿宋" w:hAnsi="仿宋" w:eastAsia="仿宋" w:cs="仿宋"/>
          <w:b/>
          <w:bCs/>
          <w:color w:val="000000" w:themeColor="text1"/>
          <w:sz w:val="36"/>
          <w:szCs w:val="36"/>
          <w:highlight w:val="none"/>
          <w14:textFill>
            <w14:solidFill>
              <w14:schemeClr w14:val="tx1"/>
            </w14:solidFill>
          </w14:textFill>
        </w:rPr>
      </w:pPr>
    </w:p>
    <w:p w14:paraId="4998C218">
      <w:pPr>
        <w:spacing w:before="48" w:beforeLines="20" w:after="48" w:afterLines="20" w:line="800" w:lineRule="exact"/>
        <w:jc w:val="center"/>
        <w:textAlignment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202</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6</w:t>
      </w:r>
      <w:r>
        <w:rPr>
          <w:rFonts w:hint="eastAsia" w:ascii="仿宋" w:hAnsi="仿宋" w:eastAsia="仿宋" w:cs="仿宋"/>
          <w:b/>
          <w:bCs/>
          <w:color w:val="000000" w:themeColor="text1"/>
          <w:sz w:val="36"/>
          <w:szCs w:val="36"/>
          <w:highlight w:val="none"/>
          <w14:textFill>
            <w14:solidFill>
              <w14:schemeClr w14:val="tx1"/>
            </w14:solidFill>
          </w14:textFill>
        </w:rPr>
        <w:t xml:space="preserve">年 </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1</w:t>
      </w:r>
      <w:r>
        <w:rPr>
          <w:rFonts w:hint="eastAsia" w:ascii="仿宋" w:hAnsi="仿宋" w:eastAsia="仿宋" w:cs="仿宋"/>
          <w:b/>
          <w:bCs/>
          <w:color w:val="000000" w:themeColor="text1"/>
          <w:sz w:val="36"/>
          <w:szCs w:val="36"/>
          <w:highlight w:val="none"/>
          <w14:textFill>
            <w14:solidFill>
              <w14:schemeClr w14:val="tx1"/>
            </w14:solidFill>
          </w14:textFill>
        </w:rPr>
        <w:t>月</w:t>
      </w:r>
    </w:p>
    <w:p w14:paraId="045ADF39">
      <w:pPr>
        <w:spacing w:before="48" w:beforeLines="20" w:after="48" w:afterLines="20" w:line="800" w:lineRule="exact"/>
        <w:jc w:val="center"/>
        <w:textAlignment w:val="center"/>
        <w:rPr>
          <w:rFonts w:hint="eastAsia" w:ascii="仿宋" w:hAnsi="仿宋" w:eastAsia="仿宋" w:cs="仿宋"/>
          <w:b/>
          <w:bCs/>
          <w:color w:val="000000" w:themeColor="text1"/>
          <w:sz w:val="32"/>
          <w:szCs w:val="32"/>
          <w:highlight w:val="none"/>
          <w14:textFill>
            <w14:solidFill>
              <w14:schemeClr w14:val="tx1"/>
            </w14:solidFill>
          </w14:textFill>
        </w:rPr>
      </w:pPr>
    </w:p>
    <w:p w14:paraId="2D3252A4">
      <w:pPr>
        <w:jc w:val="left"/>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br w:type="page"/>
      </w:r>
    </w:p>
    <w:p w14:paraId="7E993B9C">
      <w:pPr>
        <w:jc w:val="cente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 录</w:t>
      </w:r>
    </w:p>
    <w:p w14:paraId="5790CE4D">
      <w:pPr>
        <w:pStyle w:val="14"/>
        <w:rPr>
          <w:color w:val="000000" w:themeColor="text1"/>
          <w:highlight w:val="none"/>
          <w14:textFill>
            <w14:solidFill>
              <w14:schemeClr w14:val="tx1"/>
            </w14:solidFill>
          </w14:textFill>
        </w:rPr>
      </w:pPr>
    </w:p>
    <w:p w14:paraId="0695857F">
      <w:pPr>
        <w:pStyle w:val="25"/>
        <w:tabs>
          <w:tab w:val="right" w:leader="dot" w:pos="9638"/>
        </w:tabs>
        <w:spacing w:line="480" w:lineRule="auto"/>
        <w:rPr>
          <w:rFonts w:hint="eastAsia" w:ascii="仿宋" w:hAnsi="仿宋" w:eastAsia="仿宋" w:cs="仿宋"/>
          <w:sz w:val="24"/>
          <w:szCs w:val="24"/>
          <w:highlight w:val="none"/>
        </w:rPr>
      </w:pPr>
      <w:r>
        <w:rPr>
          <w:rFonts w:hint="eastAsia" w:ascii="仿宋" w:hAnsi="仿宋" w:eastAsia="仿宋" w:cs="仿宋"/>
          <w:b/>
          <w:bCs/>
          <w:color w:val="000000" w:themeColor="text1"/>
          <w:sz w:val="36"/>
          <w:szCs w:val="36"/>
          <w:highlight w:val="none"/>
          <w14:textFill>
            <w14:solidFill>
              <w14:schemeClr w14:val="tx1"/>
            </w14:solidFill>
          </w14:textFill>
        </w:rPr>
        <w:fldChar w:fldCharType="begin"/>
      </w:r>
      <w:r>
        <w:rPr>
          <w:rFonts w:hint="eastAsia" w:ascii="仿宋" w:hAnsi="仿宋" w:eastAsia="仿宋" w:cs="仿宋"/>
          <w:b/>
          <w:bCs/>
          <w:color w:val="000000" w:themeColor="text1"/>
          <w:sz w:val="36"/>
          <w:szCs w:val="36"/>
          <w:highlight w:val="none"/>
          <w14:textFill>
            <w14:solidFill>
              <w14:schemeClr w14:val="tx1"/>
            </w14:solidFill>
          </w14:textFill>
        </w:rPr>
        <w:instrText xml:space="preserve">TOC \o "1-3" \h \u </w:instrText>
      </w:r>
      <w:r>
        <w:rPr>
          <w:rFonts w:hint="eastAsia" w:ascii="仿宋" w:hAnsi="仿宋" w:eastAsia="仿宋" w:cs="仿宋"/>
          <w:b/>
          <w:bCs/>
          <w:color w:val="000000" w:themeColor="text1"/>
          <w:sz w:val="36"/>
          <w:szCs w:val="36"/>
          <w:highlight w:val="none"/>
          <w14:textFill>
            <w14:solidFill>
              <w14:schemeClr w14:val="tx1"/>
            </w14:solidFill>
          </w14:textFill>
        </w:rPr>
        <w:fldChar w:fldCharType="separate"/>
      </w:r>
      <w:r>
        <w:rPr>
          <w:rFonts w:hint="eastAsia" w:ascii="仿宋" w:hAnsi="仿宋" w:eastAsia="仿宋" w:cs="仿宋"/>
          <w:bCs/>
          <w:color w:val="000000" w:themeColor="text1"/>
          <w:sz w:val="24"/>
          <w:szCs w:val="24"/>
          <w:highlight w:val="none"/>
          <w14:textFill>
            <w14:solidFill>
              <w14:schemeClr w14:val="tx1"/>
            </w14:solidFill>
          </w14:textFill>
        </w:rPr>
        <w:fldChar w:fldCharType="begin"/>
      </w:r>
      <w:r>
        <w:rPr>
          <w:rFonts w:hint="eastAsia" w:ascii="仿宋" w:hAnsi="仿宋" w:eastAsia="仿宋" w:cs="仿宋"/>
          <w:bCs/>
          <w:sz w:val="24"/>
          <w:szCs w:val="24"/>
          <w:highlight w:val="none"/>
        </w:rPr>
        <w:instrText xml:space="preserve"> HYPERLINK \l _Toc3641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rPr>
        <w:t>第一章 遴选公告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_Toc3641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bCs/>
          <w:color w:val="000000" w:themeColor="text1"/>
          <w:sz w:val="24"/>
          <w:szCs w:val="24"/>
          <w:highlight w:val="none"/>
          <w14:textFill>
            <w14:solidFill>
              <w14:schemeClr w14:val="tx1"/>
            </w14:solidFill>
          </w14:textFill>
        </w:rPr>
        <w:fldChar w:fldCharType="end"/>
      </w:r>
    </w:p>
    <w:p w14:paraId="4F8EB944">
      <w:pPr>
        <w:pStyle w:val="25"/>
        <w:tabs>
          <w:tab w:val="right" w:leader="dot" w:pos="9638"/>
        </w:tabs>
        <w:spacing w:line="480" w:lineRule="auto"/>
        <w:rPr>
          <w:rFonts w:hint="eastAsia" w:ascii="仿宋" w:hAnsi="仿宋" w:eastAsia="仿宋" w:cs="仿宋"/>
          <w:sz w:val="24"/>
          <w:szCs w:val="24"/>
          <w:highlight w:val="none"/>
        </w:rPr>
      </w:pPr>
      <w:r>
        <w:rPr>
          <w:rFonts w:hint="eastAsia" w:ascii="仿宋" w:hAnsi="仿宋" w:eastAsia="仿宋" w:cs="仿宋"/>
          <w:bCs/>
          <w:color w:val="000000" w:themeColor="text1"/>
          <w:sz w:val="24"/>
          <w:szCs w:val="24"/>
          <w:highlight w:val="none"/>
          <w14:textFill>
            <w14:solidFill>
              <w14:schemeClr w14:val="tx1"/>
            </w14:solidFill>
          </w14:textFill>
        </w:rPr>
        <w:fldChar w:fldCharType="begin"/>
      </w:r>
      <w:r>
        <w:rPr>
          <w:rFonts w:hint="eastAsia" w:ascii="仿宋" w:hAnsi="仿宋" w:eastAsia="仿宋" w:cs="仿宋"/>
          <w:bCs/>
          <w:sz w:val="24"/>
          <w:szCs w:val="24"/>
          <w:highlight w:val="none"/>
        </w:rPr>
        <w:instrText xml:space="preserve"> HYPERLINK \l _Toc12472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章遴选须知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_Toc12472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bCs/>
          <w:color w:val="000000" w:themeColor="text1"/>
          <w:sz w:val="24"/>
          <w:szCs w:val="24"/>
          <w:highlight w:val="none"/>
          <w14:textFill>
            <w14:solidFill>
              <w14:schemeClr w14:val="tx1"/>
            </w14:solidFill>
          </w14:textFill>
        </w:rPr>
        <w:fldChar w:fldCharType="end"/>
      </w:r>
    </w:p>
    <w:p w14:paraId="76814520">
      <w:pPr>
        <w:pStyle w:val="18"/>
        <w:tabs>
          <w:tab w:val="right" w:leader="dot" w:pos="9638"/>
        </w:tabs>
        <w:spacing w:line="480" w:lineRule="auto"/>
        <w:ind w:left="0" w:leftChars="0"/>
        <w:rPr>
          <w:rFonts w:hint="eastAsia" w:ascii="仿宋" w:hAnsi="仿宋" w:eastAsia="仿宋" w:cs="仿宋"/>
          <w:sz w:val="24"/>
          <w:szCs w:val="24"/>
          <w:highlight w:val="none"/>
        </w:rPr>
      </w:pPr>
      <w:r>
        <w:rPr>
          <w:rFonts w:hint="eastAsia" w:ascii="仿宋" w:hAnsi="仿宋" w:eastAsia="仿宋" w:cs="仿宋"/>
          <w:bCs/>
          <w:color w:val="000000" w:themeColor="text1"/>
          <w:sz w:val="24"/>
          <w:szCs w:val="24"/>
          <w:highlight w:val="none"/>
          <w14:textFill>
            <w14:solidFill>
              <w14:schemeClr w14:val="tx1"/>
            </w14:solidFill>
          </w14:textFill>
        </w:rPr>
        <w:fldChar w:fldCharType="begin"/>
      </w:r>
      <w:r>
        <w:rPr>
          <w:rFonts w:hint="eastAsia" w:ascii="仿宋" w:hAnsi="仿宋" w:eastAsia="仿宋" w:cs="仿宋"/>
          <w:bCs/>
          <w:sz w:val="24"/>
          <w:szCs w:val="24"/>
          <w:highlight w:val="none"/>
        </w:rPr>
        <w:instrText xml:space="preserve"> HYPERLINK \l _Toc28674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第三章 采购目录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_Toc28674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bCs/>
          <w:color w:val="000000" w:themeColor="text1"/>
          <w:sz w:val="24"/>
          <w:szCs w:val="24"/>
          <w:highlight w:val="none"/>
          <w14:textFill>
            <w14:solidFill>
              <w14:schemeClr w14:val="tx1"/>
            </w14:solidFill>
          </w14:textFill>
        </w:rPr>
        <w:fldChar w:fldCharType="end"/>
      </w:r>
    </w:p>
    <w:p w14:paraId="0C908CDE">
      <w:pPr>
        <w:pStyle w:val="28"/>
        <w:tabs>
          <w:tab w:val="right" w:leader="dot" w:pos="9638"/>
        </w:tabs>
        <w:spacing w:line="480" w:lineRule="auto"/>
        <w:ind w:left="0" w:leftChars="0"/>
        <w:rPr>
          <w:rFonts w:hint="eastAsia" w:ascii="仿宋" w:hAnsi="仿宋" w:eastAsia="仿宋" w:cs="仿宋"/>
          <w:sz w:val="24"/>
          <w:szCs w:val="24"/>
          <w:highlight w:val="none"/>
        </w:rPr>
      </w:pPr>
      <w:r>
        <w:rPr>
          <w:rFonts w:hint="eastAsia" w:ascii="仿宋" w:hAnsi="仿宋" w:eastAsia="仿宋" w:cs="仿宋"/>
          <w:bCs/>
          <w:color w:val="000000" w:themeColor="text1"/>
          <w:sz w:val="24"/>
          <w:szCs w:val="24"/>
          <w:highlight w:val="none"/>
          <w14:textFill>
            <w14:solidFill>
              <w14:schemeClr w14:val="tx1"/>
            </w14:solidFill>
          </w14:textFill>
        </w:rPr>
        <w:fldChar w:fldCharType="begin"/>
      </w:r>
      <w:r>
        <w:rPr>
          <w:rFonts w:hint="eastAsia" w:ascii="仿宋" w:hAnsi="仿宋" w:eastAsia="仿宋" w:cs="仿宋"/>
          <w:bCs/>
          <w:sz w:val="24"/>
          <w:szCs w:val="24"/>
          <w:highlight w:val="none"/>
        </w:rPr>
        <w:instrText xml:space="preserve"> HYPERLINK \l _Toc12817 </w:instrText>
      </w:r>
      <w:r>
        <w:rPr>
          <w:rFonts w:hint="eastAsia" w:ascii="仿宋" w:hAnsi="仿宋" w:eastAsia="仿宋" w:cs="仿宋"/>
          <w:bCs/>
          <w:sz w:val="24"/>
          <w:szCs w:val="24"/>
          <w:highlight w:val="none"/>
        </w:rPr>
        <w:fldChar w:fldCharType="separate"/>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章评标办法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_Toc12817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25</w:t>
      </w:r>
      <w:r>
        <w:rPr>
          <w:rFonts w:hint="eastAsia" w:ascii="仿宋" w:hAnsi="仿宋" w:eastAsia="仿宋" w:cs="仿宋"/>
          <w:sz w:val="24"/>
          <w:szCs w:val="24"/>
          <w:highlight w:val="none"/>
        </w:rPr>
        <w:fldChar w:fldCharType="end"/>
      </w:r>
      <w:r>
        <w:rPr>
          <w:rFonts w:hint="eastAsia" w:ascii="仿宋" w:hAnsi="仿宋" w:eastAsia="仿宋" w:cs="仿宋"/>
          <w:bCs/>
          <w:color w:val="000000" w:themeColor="text1"/>
          <w:sz w:val="24"/>
          <w:szCs w:val="24"/>
          <w:highlight w:val="none"/>
          <w14:textFill>
            <w14:solidFill>
              <w14:schemeClr w14:val="tx1"/>
            </w14:solidFill>
          </w14:textFill>
        </w:rPr>
        <w:fldChar w:fldCharType="end"/>
      </w:r>
    </w:p>
    <w:p w14:paraId="601FC427">
      <w:pPr>
        <w:pStyle w:val="28"/>
        <w:tabs>
          <w:tab w:val="right" w:leader="dot" w:pos="9638"/>
        </w:tabs>
        <w:spacing w:line="480" w:lineRule="auto"/>
        <w:ind w:left="0" w:leftChars="0"/>
        <w:rPr>
          <w:rFonts w:hint="eastAsia" w:ascii="仿宋" w:hAnsi="仿宋" w:eastAsia="仿宋" w:cs="仿宋"/>
          <w:sz w:val="24"/>
          <w:szCs w:val="24"/>
          <w:highlight w:val="none"/>
        </w:rPr>
      </w:pPr>
      <w:r>
        <w:rPr>
          <w:rFonts w:hint="eastAsia" w:ascii="仿宋" w:hAnsi="仿宋" w:eastAsia="仿宋" w:cs="仿宋"/>
          <w:bCs/>
          <w:color w:val="000000" w:themeColor="text1"/>
          <w:sz w:val="24"/>
          <w:szCs w:val="24"/>
          <w:highlight w:val="none"/>
          <w14:textFill>
            <w14:solidFill>
              <w14:schemeClr w14:val="tx1"/>
            </w14:solidFill>
          </w14:textFill>
        </w:rPr>
        <w:fldChar w:fldCharType="begin"/>
      </w:r>
      <w:r>
        <w:rPr>
          <w:rFonts w:hint="eastAsia" w:ascii="仿宋" w:hAnsi="仿宋" w:eastAsia="仿宋" w:cs="仿宋"/>
          <w:bCs/>
          <w:sz w:val="24"/>
          <w:szCs w:val="24"/>
          <w:highlight w:val="none"/>
        </w:rPr>
        <w:instrText xml:space="preserve"> HYPERLINK \l _Toc20098 </w:instrText>
      </w:r>
      <w:r>
        <w:rPr>
          <w:rFonts w:hint="eastAsia" w:ascii="仿宋" w:hAnsi="仿宋" w:eastAsia="仿宋" w:cs="仿宋"/>
          <w:bCs/>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章采购合同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_Toc20098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33</w:t>
      </w:r>
      <w:r>
        <w:rPr>
          <w:rFonts w:hint="eastAsia" w:ascii="仿宋" w:hAnsi="仿宋" w:eastAsia="仿宋" w:cs="仿宋"/>
          <w:sz w:val="24"/>
          <w:szCs w:val="24"/>
          <w:highlight w:val="none"/>
        </w:rPr>
        <w:fldChar w:fldCharType="end"/>
      </w:r>
      <w:r>
        <w:rPr>
          <w:rFonts w:hint="eastAsia" w:ascii="仿宋" w:hAnsi="仿宋" w:eastAsia="仿宋" w:cs="仿宋"/>
          <w:bCs/>
          <w:color w:val="000000" w:themeColor="text1"/>
          <w:sz w:val="24"/>
          <w:szCs w:val="24"/>
          <w:highlight w:val="none"/>
          <w14:textFill>
            <w14:solidFill>
              <w14:schemeClr w14:val="tx1"/>
            </w14:solidFill>
          </w14:textFill>
        </w:rPr>
        <w:fldChar w:fldCharType="end"/>
      </w:r>
    </w:p>
    <w:p w14:paraId="537DF1F6">
      <w:pPr>
        <w:pStyle w:val="25"/>
        <w:tabs>
          <w:tab w:val="right" w:leader="dot" w:pos="9638"/>
        </w:tabs>
        <w:spacing w:line="480" w:lineRule="auto"/>
        <w:rPr>
          <w:rFonts w:hint="eastAsia" w:ascii="仿宋" w:hAnsi="仿宋" w:eastAsia="仿宋" w:cs="仿宋"/>
          <w:sz w:val="24"/>
          <w:szCs w:val="24"/>
          <w:highlight w:val="none"/>
        </w:rPr>
      </w:pPr>
      <w:r>
        <w:rPr>
          <w:rFonts w:hint="eastAsia" w:ascii="仿宋" w:hAnsi="仿宋" w:eastAsia="仿宋" w:cs="仿宋"/>
          <w:bCs/>
          <w:color w:val="000000" w:themeColor="text1"/>
          <w:sz w:val="24"/>
          <w:szCs w:val="24"/>
          <w:highlight w:val="none"/>
          <w14:textFill>
            <w14:solidFill>
              <w14:schemeClr w14:val="tx1"/>
            </w14:solidFill>
          </w14:textFill>
        </w:rPr>
        <w:fldChar w:fldCharType="begin"/>
      </w:r>
      <w:r>
        <w:rPr>
          <w:rFonts w:hint="eastAsia" w:ascii="仿宋" w:hAnsi="仿宋" w:eastAsia="仿宋" w:cs="仿宋"/>
          <w:bCs/>
          <w:sz w:val="24"/>
          <w:szCs w:val="24"/>
          <w:highlight w:val="none"/>
        </w:rPr>
        <w:instrText xml:space="preserve"> HYPERLINK \l _Toc9402 </w:instrText>
      </w:r>
      <w:r>
        <w:rPr>
          <w:rFonts w:hint="eastAsia" w:ascii="仿宋" w:hAnsi="仿宋" w:eastAsia="仿宋" w:cs="仿宋"/>
          <w:bCs/>
          <w:sz w:val="24"/>
          <w:szCs w:val="24"/>
          <w:highlight w:val="none"/>
        </w:rPr>
        <w:fldChar w:fldCharType="separate"/>
      </w:r>
      <w:r>
        <w:rPr>
          <w:rFonts w:hint="eastAsia" w:ascii="仿宋" w:hAnsi="仿宋" w:eastAsia="仿宋" w:cs="仿宋"/>
          <w:bCs/>
          <w:kern w:val="0"/>
          <w:sz w:val="24"/>
          <w:szCs w:val="24"/>
          <w:highlight w:val="none"/>
        </w:rPr>
        <w:t>第</w:t>
      </w:r>
      <w:r>
        <w:rPr>
          <w:rFonts w:hint="eastAsia" w:ascii="仿宋" w:hAnsi="仿宋" w:eastAsia="仿宋" w:cs="仿宋"/>
          <w:bCs/>
          <w:kern w:val="0"/>
          <w:sz w:val="24"/>
          <w:szCs w:val="24"/>
          <w:highlight w:val="none"/>
          <w:lang w:val="en-US" w:eastAsia="zh-CN"/>
        </w:rPr>
        <w:t>六</w:t>
      </w:r>
      <w:r>
        <w:rPr>
          <w:rFonts w:hint="eastAsia" w:ascii="仿宋" w:hAnsi="仿宋" w:eastAsia="仿宋" w:cs="仿宋"/>
          <w:bCs/>
          <w:kern w:val="0"/>
          <w:sz w:val="24"/>
          <w:szCs w:val="24"/>
          <w:highlight w:val="none"/>
        </w:rPr>
        <w:t>章 响应文件格式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_Toc9402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38</w:t>
      </w:r>
      <w:r>
        <w:rPr>
          <w:rFonts w:hint="eastAsia" w:ascii="仿宋" w:hAnsi="仿宋" w:eastAsia="仿宋" w:cs="仿宋"/>
          <w:sz w:val="24"/>
          <w:szCs w:val="24"/>
          <w:highlight w:val="none"/>
        </w:rPr>
        <w:fldChar w:fldCharType="end"/>
      </w:r>
      <w:r>
        <w:rPr>
          <w:rFonts w:hint="eastAsia" w:ascii="仿宋" w:hAnsi="仿宋" w:eastAsia="仿宋" w:cs="仿宋"/>
          <w:bCs/>
          <w:color w:val="000000" w:themeColor="text1"/>
          <w:sz w:val="24"/>
          <w:szCs w:val="24"/>
          <w:highlight w:val="none"/>
          <w14:textFill>
            <w14:solidFill>
              <w14:schemeClr w14:val="tx1"/>
            </w14:solidFill>
          </w14:textFill>
        </w:rPr>
        <w:fldChar w:fldCharType="end"/>
      </w:r>
    </w:p>
    <w:p w14:paraId="3183D7C3">
      <w:pPr>
        <w:spacing w:line="360" w:lineRule="auto"/>
        <w:jc w:val="center"/>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Cs/>
          <w:color w:val="000000" w:themeColor="text1"/>
          <w:sz w:val="24"/>
          <w:szCs w:val="36"/>
          <w:highlight w:val="none"/>
          <w14:textFill>
            <w14:solidFill>
              <w14:schemeClr w14:val="tx1"/>
            </w14:solidFill>
          </w14:textFill>
        </w:rPr>
        <w:fldChar w:fldCharType="end"/>
      </w:r>
    </w:p>
    <w:p w14:paraId="29F91D92">
      <w:pPr>
        <w:pStyle w:val="16"/>
        <w:tabs>
          <w:tab w:val="right" w:leader="dot" w:pos="9288"/>
        </w:tabs>
        <w:spacing w:line="480" w:lineRule="auto"/>
        <w:rPr>
          <w:rFonts w:hint="eastAsia" w:ascii="仿宋" w:hAnsi="仿宋" w:eastAsia="仿宋" w:cs="仿宋"/>
          <w:color w:val="000000" w:themeColor="text1"/>
          <w:highlight w:val="none"/>
          <w14:textFill>
            <w14:solidFill>
              <w14:schemeClr w14:val="tx1"/>
            </w14:solidFill>
          </w14:textFill>
        </w:rPr>
      </w:pPr>
    </w:p>
    <w:p w14:paraId="54F039B0">
      <w:pPr>
        <w:tabs>
          <w:tab w:val="left" w:pos="5448"/>
        </w:tabs>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ab/>
      </w:r>
      <w:bookmarkEnd w:id="0"/>
    </w:p>
    <w:p w14:paraId="2D28AFC7">
      <w:pPr>
        <w:pStyle w:val="14"/>
        <w:rPr>
          <w:color w:val="000000" w:themeColor="text1"/>
          <w:highlight w:val="none"/>
          <w14:textFill>
            <w14:solidFill>
              <w14:schemeClr w14:val="tx1"/>
            </w14:solidFill>
          </w14:textFill>
        </w:rPr>
        <w:sectPr>
          <w:headerReference r:id="rId3" w:type="first"/>
          <w:pgSz w:w="11906" w:h="16838"/>
          <w:pgMar w:top="1134" w:right="1134" w:bottom="1134" w:left="1134" w:header="851" w:footer="680" w:gutter="0"/>
          <w:pgNumType w:start="1"/>
          <w:cols w:space="720" w:num="1"/>
          <w:docGrid w:linePitch="312" w:charSpace="0"/>
        </w:sectPr>
      </w:pPr>
    </w:p>
    <w:p w14:paraId="5D0DB467">
      <w:pPr>
        <w:pStyle w:val="15"/>
        <w:rPr>
          <w:color w:val="000000" w:themeColor="text1"/>
          <w:highlight w:val="none"/>
          <w14:textFill>
            <w14:solidFill>
              <w14:schemeClr w14:val="tx1"/>
            </w14:solidFill>
          </w14:textFill>
        </w:rPr>
      </w:pPr>
    </w:p>
    <w:p w14:paraId="71CEBB6A">
      <w:pPr>
        <w:spacing w:line="480" w:lineRule="auto"/>
        <w:jc w:val="center"/>
        <w:outlineLvl w:val="0"/>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1" w:name="_Toc30493"/>
      <w:bookmarkStart w:id="2" w:name="_Toc14838"/>
      <w:bookmarkStart w:id="3" w:name="_Toc3641"/>
      <w:bookmarkStart w:id="4" w:name="_Toc18006"/>
      <w:bookmarkStart w:id="5" w:name="_Toc17119"/>
      <w:bookmarkStart w:id="6" w:name="_Toc11870"/>
      <w:bookmarkStart w:id="7" w:name="_Toc28687"/>
      <w:r>
        <w:rPr>
          <w:rFonts w:hint="eastAsia" w:ascii="仿宋" w:hAnsi="仿宋" w:eastAsia="仿宋" w:cs="仿宋"/>
          <w:b/>
          <w:bCs/>
          <w:color w:val="000000" w:themeColor="text1"/>
          <w:kern w:val="0"/>
          <w:sz w:val="44"/>
          <w:szCs w:val="44"/>
          <w:highlight w:val="none"/>
          <w14:textFill>
            <w14:solidFill>
              <w14:schemeClr w14:val="tx1"/>
            </w14:solidFill>
          </w14:textFill>
        </w:rPr>
        <w:t>第一章 遴选公告</w:t>
      </w:r>
      <w:bookmarkEnd w:id="1"/>
      <w:bookmarkEnd w:id="2"/>
      <w:bookmarkEnd w:id="3"/>
      <w:bookmarkEnd w:id="4"/>
      <w:bookmarkEnd w:id="5"/>
      <w:bookmarkEnd w:id="6"/>
      <w:bookmarkEnd w:id="7"/>
    </w:p>
    <w:p w14:paraId="22F8D635">
      <w:pPr>
        <w:widowControl/>
        <w:spacing w:line="360" w:lineRule="auto"/>
        <w:ind w:left="239" w:leftChars="114" w:firstLine="241"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bookmarkStart w:id="8" w:name="_Toc270281766"/>
      <w:bookmarkStart w:id="9" w:name="_Toc246213133"/>
      <w:r>
        <w:rPr>
          <w:rFonts w:hint="eastAsia" w:ascii="仿宋" w:hAnsi="仿宋" w:eastAsia="仿宋" w:cs="仿宋"/>
          <w:b/>
          <w:bCs/>
          <w:color w:val="000000" w:themeColor="text1"/>
          <w:sz w:val="24"/>
          <w:szCs w:val="24"/>
          <w:highlight w:val="none"/>
          <w14:textFill>
            <w14:solidFill>
              <w14:schemeClr w14:val="tx1"/>
            </w14:solidFill>
          </w14:textFill>
        </w:rPr>
        <w:t>湖南鑫卫医药电子商务科技发展有限公司</w:t>
      </w:r>
      <w:r>
        <w:rPr>
          <w:rFonts w:hint="eastAsia" w:ascii="仿宋" w:hAnsi="仿宋" w:eastAsia="仿宋" w:cs="仿宋"/>
          <w:color w:val="000000" w:themeColor="text1"/>
          <w:kern w:val="0"/>
          <w:sz w:val="24"/>
          <w:szCs w:val="24"/>
          <w:highlight w:val="none"/>
          <w14:textFill>
            <w14:solidFill>
              <w14:schemeClr w14:val="tx1"/>
            </w14:solidFill>
          </w14:textFill>
        </w:rPr>
        <w:t>受</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浏阳市人民医院</w:t>
      </w:r>
      <w:r>
        <w:rPr>
          <w:rFonts w:hint="eastAsia" w:ascii="仿宋" w:hAnsi="仿宋" w:eastAsia="仿宋" w:cs="仿宋"/>
          <w:color w:val="000000" w:themeColor="text1"/>
          <w:kern w:val="0"/>
          <w:sz w:val="24"/>
          <w:szCs w:val="24"/>
          <w:highlight w:val="none"/>
          <w14:textFill>
            <w14:solidFill>
              <w14:schemeClr w14:val="tx1"/>
            </w14:solidFill>
          </w14:textFill>
        </w:rPr>
        <w:t>委托，对“</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浏阳市人民医院2025年新增试剂配送服务（第二批）入围遴选项目</w:t>
      </w:r>
      <w:r>
        <w:rPr>
          <w:rFonts w:hint="eastAsia" w:ascii="仿宋" w:hAnsi="仿宋" w:eastAsia="仿宋" w:cs="仿宋"/>
          <w:color w:val="000000" w:themeColor="text1"/>
          <w:kern w:val="0"/>
          <w:sz w:val="24"/>
          <w:szCs w:val="24"/>
          <w:highlight w:val="none"/>
          <w14:textFill>
            <w14:solidFill>
              <w14:schemeClr w14:val="tx1"/>
            </w14:solidFill>
          </w14:textFill>
        </w:rPr>
        <w:t>”采取公开遴选方式采购，欢迎符合条件的供应商参与。</w:t>
      </w:r>
    </w:p>
    <w:p w14:paraId="3F3E7D1B">
      <w:pPr>
        <w:widowControl/>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1、项目名称及内容：</w:t>
      </w:r>
    </w:p>
    <w:p w14:paraId="7E0ABA35">
      <w:pPr>
        <w:widowControl/>
        <w:spacing w:line="360" w:lineRule="auto"/>
        <w:ind w:left="479" w:leftChars="228" w:firstLine="0" w:firstLineChars="0"/>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 项目名称：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浏阳市人民医院2025年新增试剂配送服务（第二批）入围遴选项目</w:t>
      </w:r>
      <w:r>
        <w:rPr>
          <w:rFonts w:hint="eastAsia" w:ascii="仿宋" w:hAnsi="仿宋" w:eastAsia="仿宋" w:cs="仿宋"/>
          <w:color w:val="000000" w:themeColor="text1"/>
          <w:kern w:val="0"/>
          <w:sz w:val="24"/>
          <w:szCs w:val="24"/>
          <w:highlight w:val="none"/>
          <w:lang w:eastAsia="zh-CN"/>
          <w14:textFill>
            <w14:solidFill>
              <w14:schemeClr w14:val="tx1"/>
            </w14:solidFill>
          </w14:textFill>
        </w:rPr>
        <w:br w:type="textWrapping"/>
      </w:r>
      <w:r>
        <w:rPr>
          <w:rFonts w:hint="eastAsia" w:ascii="仿宋" w:hAnsi="仿宋" w:eastAsia="仿宋" w:cs="仿宋"/>
          <w:color w:val="000000" w:themeColor="text1"/>
          <w:kern w:val="0"/>
          <w:sz w:val="24"/>
          <w:szCs w:val="24"/>
          <w:highlight w:val="none"/>
          <w14:textFill>
            <w14:solidFill>
              <w14:schemeClr w14:val="tx1"/>
            </w14:solidFill>
          </w14:textFill>
        </w:rPr>
        <w:t>1.2项目编号: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HNXW-202601047</w:t>
      </w:r>
    </w:p>
    <w:p w14:paraId="4EB6D170">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合同履行期限： </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年</w:t>
      </w:r>
    </w:p>
    <w:p w14:paraId="390C92E7">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4 </w:t>
      </w:r>
      <w:r>
        <w:rPr>
          <w:rFonts w:hint="eastAsia" w:ascii="仿宋" w:hAnsi="仿宋" w:eastAsia="仿宋" w:cs="仿宋"/>
          <w:color w:val="000000" w:themeColor="text1"/>
          <w:kern w:val="0"/>
          <w:sz w:val="24"/>
          <w:szCs w:val="24"/>
          <w:highlight w:val="none"/>
          <w14:textFill>
            <w14:solidFill>
              <w14:schemeClr w14:val="tx1"/>
            </w14:solidFill>
          </w14:textFill>
        </w:rPr>
        <w:t>采购需求：详见遴选文件“第</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kern w:val="0"/>
          <w:sz w:val="24"/>
          <w:szCs w:val="24"/>
          <w:highlight w:val="none"/>
          <w14:textFill>
            <w14:solidFill>
              <w14:schemeClr w14:val="tx1"/>
            </w14:solidFill>
          </w14:textFill>
        </w:rPr>
        <w:t>章 采购目录”</w:t>
      </w:r>
    </w:p>
    <w:p w14:paraId="589049C0">
      <w:pPr>
        <w:widowControl/>
        <w:spacing w:line="360" w:lineRule="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2、供应商资格要求：</w:t>
      </w:r>
    </w:p>
    <w:p w14:paraId="48B1F7C6">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1、在中华人民共和国境内注册，具备独立法人资格。</w:t>
      </w:r>
    </w:p>
    <w:p w14:paraId="3ACC5461">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2、所投</w:t>
      </w:r>
      <w:r>
        <w:rPr>
          <w:rFonts w:hint="eastAsia" w:ascii="仿宋" w:hAnsi="仿宋" w:eastAsia="仿宋" w:cs="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生产或经营纳入行政管理的，供应商须具有相应的生产</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szCs w:val="24"/>
          <w:highlight w:val="none"/>
          <w14:textFill>
            <w14:solidFill>
              <w14:schemeClr w14:val="tx1"/>
            </w14:solidFill>
          </w14:textFill>
        </w:rPr>
        <w:t>经营许可证（如医疗器械生产或经营备案凭证、医疗器械生产或经营许可证、生产企业卫生许可证等）。</w:t>
      </w:r>
    </w:p>
    <w:p w14:paraId="7D77878E">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3、所投</w:t>
      </w:r>
      <w:r>
        <w:rPr>
          <w:rFonts w:hint="eastAsia" w:ascii="仿宋" w:hAnsi="仿宋" w:eastAsia="仿宋" w:cs="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纳入中华人民共和国医疗器械监督管理的，供应商须提供所投产品有效的医疗器械备案凭证（适用于第一类）或医疗器械注册证（适用于第二类、第三类）。</w:t>
      </w:r>
    </w:p>
    <w:p w14:paraId="5ED7C070">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4、所投</w:t>
      </w:r>
      <w:r>
        <w:rPr>
          <w:rFonts w:hint="eastAsia" w:ascii="仿宋" w:hAnsi="仿宋" w:eastAsia="仿宋" w:cs="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纳入中华人民共和</w:t>
      </w:r>
      <w:bookmarkStart w:id="110" w:name="_GoBack"/>
      <w:bookmarkEnd w:id="110"/>
      <w:r>
        <w:rPr>
          <w:rFonts w:hint="eastAsia" w:ascii="仿宋" w:hAnsi="仿宋" w:eastAsia="仿宋" w:cs="仿宋"/>
          <w:color w:val="000000" w:themeColor="text1"/>
          <w:sz w:val="24"/>
          <w:szCs w:val="24"/>
          <w:highlight w:val="none"/>
          <w14:textFill>
            <w14:solidFill>
              <w14:schemeClr w14:val="tx1"/>
            </w14:solidFill>
          </w14:textFill>
        </w:rPr>
        <w:t>国医疗器械监督管理的，则所投产品须是湖南省药品医药耗材招采管理子系统挂网产品。</w:t>
      </w:r>
    </w:p>
    <w:p w14:paraId="686CA829">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5、单位负责人为同一人或者存在控股、管理关系的不同单位，不得同时参加同一包号的申请，否则均取消该包号的入围资格。</w:t>
      </w:r>
    </w:p>
    <w:p w14:paraId="5C1A1842">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6、与采购人存在利害关系可能影响入围公正性的法人、其他组织或者个人，不得申请。</w:t>
      </w:r>
    </w:p>
    <w:p w14:paraId="77CD6219">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7、在截止时间前被“信用中国”网站列入失信被执行人或重大税收违法案件当事人名单的、或被“中国政府采购网”网站列入政府采购严重违法失信行为记录名单（处罚期限尚未届满的）的单位，不得申请。</w:t>
      </w:r>
    </w:p>
    <w:p w14:paraId="79684E5E">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、本项目不接受联合体申请。</w:t>
      </w:r>
    </w:p>
    <w:p w14:paraId="1EDC2161">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、符合法律、行政法规规定的其他条件。</w:t>
      </w:r>
    </w:p>
    <w:p w14:paraId="038231C2">
      <w:pPr>
        <w:spacing w:line="42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3、获取遴选文件：</w:t>
      </w:r>
    </w:p>
    <w:p w14:paraId="34BB9BCB">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凡有意参加遴选的供应商</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请于202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年 </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 xml:space="preserve">  日起至202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1</w:t>
      </w:r>
      <w:r>
        <w:rPr>
          <w:rFonts w:hint="eastAsia" w:ascii="仿宋" w:hAnsi="仿宋" w:eastAsia="仿宋" w:cs="仿宋"/>
          <w:color w:val="000000" w:themeColor="text1"/>
          <w:sz w:val="24"/>
          <w:szCs w:val="24"/>
          <w:highlight w:val="none"/>
          <w14:textFill>
            <w14:solidFill>
              <w14:schemeClr w14:val="tx1"/>
            </w14:solidFill>
          </w14:textFill>
        </w:rPr>
        <w:t xml:space="preserve">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 xml:space="preserve"> 日，每日上午9时到12时，下午14时到17时(北京时间，法定节假日除外)。</w:t>
      </w:r>
    </w:p>
    <w:p w14:paraId="1C549D0E">
      <w:pPr>
        <w:adjustRightInd w:val="0"/>
        <w:snapToGrid w:val="0"/>
        <w:spacing w:line="420" w:lineRule="exact"/>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地点：</w:t>
      </w:r>
      <w:r>
        <w:rPr>
          <w:rFonts w:hint="eastAsia" w:ascii="仿宋" w:hAnsi="仿宋" w:eastAsia="仿宋" w:cs="仿宋"/>
          <w:i w:val="0"/>
          <w:iCs w:val="0"/>
          <w:caps w:val="0"/>
          <w:color w:val="000000"/>
          <w:spacing w:val="0"/>
          <w:sz w:val="24"/>
          <w:szCs w:val="24"/>
          <w:highlight w:val="none"/>
          <w:shd w:val="clear"/>
          <w:vertAlign w:val="baseline"/>
        </w:rPr>
        <w:t>湖南鑫卫网→鑫卫招投标系统入口→点击“</w:t>
      </w:r>
      <w:r>
        <w:rPr>
          <w:rFonts w:hint="eastAsia" w:ascii="仿宋" w:hAnsi="仿宋" w:eastAsia="仿宋" w:cs="仿宋"/>
          <w:i w:val="0"/>
          <w:iCs w:val="0"/>
          <w:caps w:val="0"/>
          <w:color w:val="000000"/>
          <w:spacing w:val="0"/>
          <w:sz w:val="24"/>
          <w:szCs w:val="24"/>
          <w:highlight w:val="none"/>
          <w:shd w:val="clear"/>
          <w:vertAlign w:val="baseline"/>
          <w:lang w:eastAsia="zh-CN"/>
        </w:rPr>
        <w:t>药品、医用耗材及检验试剂(遴选/集配)招投标系统</w:t>
      </w:r>
      <w:r>
        <w:rPr>
          <w:rFonts w:hint="eastAsia" w:ascii="仿宋" w:hAnsi="仿宋" w:eastAsia="仿宋" w:cs="仿宋"/>
          <w:i w:val="0"/>
          <w:iCs w:val="0"/>
          <w:caps w:val="0"/>
          <w:color w:val="000000"/>
          <w:spacing w:val="0"/>
          <w:sz w:val="24"/>
          <w:szCs w:val="24"/>
          <w:highlight w:val="none"/>
          <w:shd w:val="clear"/>
          <w:vertAlign w:val="baseline"/>
        </w:rPr>
        <w:t>”→报名入口</w:t>
      </w:r>
    </w:p>
    <w:p w14:paraId="7519E18C">
      <w:pPr>
        <w:adjustRightInd w:val="0"/>
        <w:snapToGrid w:val="0"/>
        <w:spacing w:line="420" w:lineRule="exact"/>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获取</w:t>
      </w:r>
      <w:r>
        <w:rPr>
          <w:rFonts w:hint="eastAsia" w:ascii="仿宋" w:hAnsi="仿宋" w:eastAsia="仿宋" w:cs="仿宋"/>
          <w:color w:val="000000" w:themeColor="text1"/>
          <w:sz w:val="24"/>
          <w:szCs w:val="20"/>
          <w:highlight w:val="none"/>
          <w14:textFill>
            <w14:solidFill>
              <w14:schemeClr w14:val="tx1"/>
            </w14:solidFill>
          </w14:textFill>
        </w:rPr>
        <w:t>方式：</w:t>
      </w:r>
      <w:r>
        <w:rPr>
          <w:rFonts w:hint="eastAsia" w:ascii="仿宋" w:hAnsi="仿宋" w:eastAsia="仿宋" w:cs="仿宋"/>
          <w:color w:val="000000" w:themeColor="text1"/>
          <w:sz w:val="24"/>
          <w:szCs w:val="24"/>
          <w:highlight w:val="none"/>
          <w14:textFill>
            <w14:solidFill>
              <w14:schemeClr w14:val="tx1"/>
            </w14:solidFill>
          </w14:textFill>
        </w:rPr>
        <w:t>上传营业执照、法定代表人身份证明或授权委托书（并附法定代表人身份证明），以上资料为加盖供应商原始公章的彩色扫描件，提交以上资料后，需等待审核通过，方可下载遴选文件</w:t>
      </w:r>
      <w:r>
        <w:rPr>
          <w:rFonts w:hint="eastAsia" w:ascii="仿宋" w:hAnsi="仿宋" w:eastAsia="仿宋" w:cs="仿宋"/>
          <w:color w:val="000000" w:themeColor="text1"/>
          <w:sz w:val="24"/>
          <w:szCs w:val="20"/>
          <w:highlight w:val="none"/>
          <w14:textFill>
            <w14:solidFill>
              <w14:schemeClr w14:val="tx1"/>
            </w14:solidFill>
          </w14:textFill>
        </w:rPr>
        <w:t>。</w:t>
      </w:r>
    </w:p>
    <w:p w14:paraId="7CEEB24A">
      <w:pPr>
        <w:adjustRightInd w:val="0"/>
        <w:snapToGrid w:val="0"/>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售价：每套人民币</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510 </w:t>
      </w:r>
      <w:r>
        <w:rPr>
          <w:rFonts w:hint="eastAsia" w:ascii="仿宋" w:hAnsi="仿宋" w:eastAsia="仿宋" w:cs="仿宋"/>
          <w:color w:val="000000" w:themeColor="text1"/>
          <w:sz w:val="24"/>
          <w:szCs w:val="20"/>
          <w:highlight w:val="none"/>
          <w14:textFill>
            <w14:solidFill>
              <w14:schemeClr w14:val="tx1"/>
            </w14:solidFill>
          </w14:textFill>
        </w:rPr>
        <w:t>元整，本公告包含的遴选文件售价总和。</w:t>
      </w:r>
    </w:p>
    <w:p w14:paraId="6C3AB997">
      <w:pPr>
        <w:spacing w:line="42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4、提交响应文件截止时间、开标时间和地点</w:t>
      </w:r>
    </w:p>
    <w:p w14:paraId="23EEC7AC">
      <w:pPr>
        <w:adjustRightInd w:val="0"/>
        <w:snapToGrid w:val="0"/>
        <w:spacing w:before="120" w:beforeLines="50"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提交响应文件截止时间：202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年 </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t xml:space="preserve">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10 </w:t>
      </w:r>
      <w:r>
        <w:rPr>
          <w:rFonts w:hint="eastAsia" w:ascii="仿宋" w:hAnsi="仿宋" w:eastAsia="仿宋" w:cs="仿宋"/>
          <w:color w:val="000000" w:themeColor="text1"/>
          <w:sz w:val="24"/>
          <w:szCs w:val="24"/>
          <w:highlight w:val="none"/>
          <w14:textFill>
            <w14:solidFill>
              <w14:schemeClr w14:val="tx1"/>
            </w14:solidFill>
          </w14:textFill>
        </w:rPr>
        <w:t xml:space="preserve">时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00 </w:t>
      </w:r>
      <w:r>
        <w:rPr>
          <w:rFonts w:hint="eastAsia" w:ascii="仿宋" w:hAnsi="仿宋" w:eastAsia="仿宋" w:cs="仿宋"/>
          <w:color w:val="000000" w:themeColor="text1"/>
          <w:sz w:val="24"/>
          <w:szCs w:val="24"/>
          <w:highlight w:val="none"/>
          <w14:textFill>
            <w14:solidFill>
              <w14:schemeClr w14:val="tx1"/>
            </w14:solidFill>
          </w14:textFill>
        </w:rPr>
        <w:t>分（北京时间）</w:t>
      </w:r>
    </w:p>
    <w:p w14:paraId="1A6EE807">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年 </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10 </w:t>
      </w:r>
      <w:r>
        <w:rPr>
          <w:rFonts w:hint="eastAsia" w:ascii="仿宋" w:hAnsi="仿宋" w:eastAsia="仿宋" w:cs="仿宋"/>
          <w:color w:val="000000" w:themeColor="text1"/>
          <w:sz w:val="24"/>
          <w:szCs w:val="24"/>
          <w:highlight w:val="none"/>
          <w14:textFill>
            <w14:solidFill>
              <w14:schemeClr w14:val="tx1"/>
            </w14:solidFill>
          </w14:textFill>
        </w:rPr>
        <w:t xml:space="preserve"> 时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00 </w:t>
      </w:r>
      <w:r>
        <w:rPr>
          <w:rFonts w:hint="eastAsia" w:ascii="仿宋" w:hAnsi="仿宋" w:eastAsia="仿宋" w:cs="仿宋"/>
          <w:color w:val="000000" w:themeColor="text1"/>
          <w:sz w:val="24"/>
          <w:szCs w:val="24"/>
          <w:highlight w:val="none"/>
          <w14:textFill>
            <w14:solidFill>
              <w14:schemeClr w14:val="tx1"/>
            </w14:solidFill>
          </w14:textFill>
        </w:rPr>
        <w:t>分（北京时间）</w:t>
      </w:r>
    </w:p>
    <w:p w14:paraId="2BC82684">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开标地点：</w:t>
      </w:r>
      <w:r>
        <w:rPr>
          <w:rFonts w:hint="eastAsia" w:ascii="仿宋" w:hAnsi="仿宋" w:eastAsia="仿宋" w:cs="仿宋"/>
          <w:color w:val="000000" w:themeColor="text1"/>
          <w:sz w:val="19"/>
          <w:szCs w:val="19"/>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湖南鑫卫网</w:t>
      </w:r>
      <w:r>
        <w:rPr>
          <w:rFonts w:hint="eastAsia" w:ascii="仿宋" w:hAnsi="仿宋" w:eastAsia="仿宋" w:cs="仿宋"/>
          <w:color w:val="000000" w:themeColor="text1"/>
          <w:sz w:val="19"/>
          <w:szCs w:val="19"/>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"http://www.xvmec.com"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http://www.xvmec.com</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w:t>
      </w:r>
    </w:p>
    <w:p w14:paraId="387A64DA">
      <w:pPr>
        <w:spacing w:line="42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、公告期限</w:t>
      </w:r>
    </w:p>
    <w:p w14:paraId="4A7BE34D">
      <w:pPr>
        <w:widowControl/>
        <w:spacing w:line="420" w:lineRule="exact"/>
        <w:ind w:firstLine="480" w:firstLineChars="200"/>
        <w:rPr>
          <w:rFonts w:hint="eastAsia" w:ascii="仿宋" w:hAnsi="仿宋" w:eastAsia="仿宋" w:cs="仿宋"/>
          <w:strike/>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自本公告发布之日起5个工作日。</w:t>
      </w:r>
    </w:p>
    <w:p w14:paraId="0DCBCE3A">
      <w:pPr>
        <w:pStyle w:val="19"/>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6、其他：</w:t>
      </w:r>
    </w:p>
    <w:p w14:paraId="5EB344F6">
      <w:pPr>
        <w:widowControl/>
        <w:spacing w:line="288" w:lineRule="auto"/>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 xml:space="preserve">1、遴选公告发布媒介：湖南鑫卫网、中国招标投标公共服务平台 </w:t>
      </w:r>
      <w:r>
        <w:rPr>
          <w:rFonts w:hint="eastAsia" w:ascii="仿宋" w:hAnsi="仿宋" w:eastAsia="仿宋" w:cs="仿宋"/>
          <w:color w:val="000000" w:themeColor="text1"/>
          <w:sz w:val="24"/>
          <w:szCs w:val="20"/>
          <w:highlight w:val="none"/>
          <w:lang w:eastAsia="zh-CN"/>
          <w14:textFill>
            <w14:solidFill>
              <w14:schemeClr w14:val="tx1"/>
            </w14:solidFill>
          </w14:textFill>
        </w:rPr>
        <w:t>、</w:t>
      </w:r>
      <w:r>
        <w:rPr>
          <w:rFonts w:hint="eastAsia" w:ascii="仿宋" w:hAnsi="仿宋" w:eastAsia="仿宋" w:cs="仿宋"/>
          <w:color w:val="000000" w:themeColor="text1"/>
          <w:sz w:val="24"/>
          <w:szCs w:val="20"/>
          <w:highlight w:val="none"/>
          <w:lang w:val="en-US" w:eastAsia="zh-CN"/>
          <w14:textFill>
            <w14:solidFill>
              <w14:schemeClr w14:val="tx1"/>
            </w14:solidFill>
          </w14:textFill>
        </w:rPr>
        <w:t>浏阳市人民医院官网</w:t>
      </w:r>
      <w:r>
        <w:rPr>
          <w:rFonts w:hint="eastAsia" w:ascii="仿宋" w:hAnsi="仿宋" w:eastAsia="仿宋" w:cs="仿宋"/>
          <w:color w:val="000000" w:themeColor="text1"/>
          <w:sz w:val="24"/>
          <w:szCs w:val="20"/>
          <w:highlight w:val="none"/>
          <w14:textFill>
            <w14:solidFill>
              <w14:schemeClr w14:val="tx1"/>
            </w14:solidFill>
          </w14:textFill>
        </w:rPr>
        <w:t>。</w:t>
      </w:r>
    </w:p>
    <w:p w14:paraId="5C0BE1CC">
      <w:pPr>
        <w:pStyle w:val="25"/>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jc w:val="both"/>
        <w:textAlignment w:val="auto"/>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2、本项目开评标过程采用全流程电子化遴选采购方式，报名成功的遴选申请人须办理CA数字证书（以下简称CA），CA用于电子投标/入围响应文件的签章及上传（上传投标需使用CA进行签章、解密）；CA新办操作请查看湖南CA统一客户服务平台新办注册流程http://www.hunca.com.cn/infoDetails.html?articleId=204（注意：办理数字证书应选择湖南省鑫卫电子商务招标采购平台证书应用项目；咨询热线：4006682666，QQ：4006682666）因未及时办理注册手续影响参加采购活动的，责任自负。</w:t>
      </w:r>
    </w:p>
    <w:p w14:paraId="4EE7F68A">
      <w:pPr>
        <w:pStyle w:val="25"/>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3、遴选申请人在制作、上传电子入围响应文件过程中，若存在技术操作问题，请及时联系采购平台客服人员，</w:t>
      </w:r>
      <w:r>
        <w:rPr>
          <w:rFonts w:hint="eastAsia" w:ascii="仿宋" w:hAnsi="仿宋" w:eastAsia="仿宋" w:cs="仿宋"/>
          <w:b/>
          <w:bCs/>
          <w:color w:val="000000" w:themeColor="text1"/>
          <w:kern w:val="2"/>
          <w:sz w:val="24"/>
          <w:highlight w:val="none"/>
          <w:lang w:val="en-US" w:eastAsia="zh-CN" w:bidi="ar-SA"/>
          <w14:textFill>
            <w14:solidFill>
              <w14:schemeClr w14:val="tx1"/>
            </w14:solidFill>
          </w14:textFill>
        </w:rPr>
        <w:t>客服电话:400-696-8998 选 2 拨分机号74</w:t>
      </w:r>
      <w:r>
        <w:rPr>
          <w:rFonts w:hint="eastAsia" w:ascii="仿宋" w:hAnsi="仿宋" w:eastAsia="仿宋"/>
          <w:color w:val="000000" w:themeColor="text1"/>
          <w:sz w:val="24"/>
          <w:highlight w:val="none"/>
          <w:lang w:eastAsia="zh-CN"/>
          <w14:textFill>
            <w14:solidFill>
              <w14:schemeClr w14:val="tx1"/>
            </w14:solidFill>
          </w14:textFill>
        </w:rPr>
        <w:t>。</w:t>
      </w:r>
    </w:p>
    <w:p w14:paraId="1B124BB6">
      <w:pPr>
        <w:shd w:val="clear"/>
        <w:spacing w:line="360" w:lineRule="auto"/>
        <w:ind w:firstLine="480" w:firstLineChars="200"/>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4、CA激活：登录进来后，在【个人中心】进行证书激活。未安装数字证书驱动的请先安装数字证书驱动。</w:t>
      </w:r>
    </w:p>
    <w:p w14:paraId="614F5080">
      <w:pPr>
        <w:shd w:val="clear"/>
        <w:spacing w:line="360" w:lineRule="auto"/>
        <w:ind w:firstLine="480" w:firstLineChars="200"/>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5、数据申报：账号或CA登录进入系统选择页面，选择需操作的项目后再进入系统，进行【数据申报】的相关操作。</w:t>
      </w:r>
    </w:p>
    <w:p w14:paraId="4EF64C9C">
      <w:pPr>
        <w:widowControl/>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br w:type="textWrapping"/>
      </w:r>
      <w:r>
        <w:rPr>
          <w:rFonts w:hint="eastAsia" w:ascii="仿宋" w:hAnsi="仿宋" w:eastAsia="仿宋" w:cs="仿宋"/>
          <w:b/>
          <w:bCs/>
          <w:color w:val="000000" w:themeColor="text1"/>
          <w:kern w:val="0"/>
          <w:sz w:val="24"/>
          <w:szCs w:val="24"/>
          <w:highlight w:val="none"/>
          <w14:textFill>
            <w14:solidFill>
              <w14:schemeClr w14:val="tx1"/>
            </w14:solidFill>
          </w14:textFill>
        </w:rPr>
        <w:t>7、联系方式</w:t>
      </w:r>
    </w:p>
    <w:p w14:paraId="3C6F0CB1">
      <w:pPr>
        <w:widowControl/>
        <w:spacing w:line="312" w:lineRule="auto"/>
        <w:ind w:right="-105" w:firstLine="480" w:firstLineChars="200"/>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 购 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浏阳市人民医院</w:t>
      </w:r>
      <w:r>
        <w:rPr>
          <w:rFonts w:hint="eastAsia" w:ascii="仿宋" w:hAnsi="仿宋" w:eastAsia="仿宋" w:cs="仿宋"/>
          <w:color w:val="000000" w:themeColor="text1"/>
          <w:kern w:val="0"/>
          <w:sz w:val="24"/>
          <w:szCs w:val="24"/>
          <w:highlight w:val="none"/>
          <w14:textFill>
            <w14:solidFill>
              <w14:schemeClr w14:val="tx1"/>
            </w14:solidFill>
          </w14:textFill>
        </w:rPr>
        <w:cr/>
      </w:r>
      <w:r>
        <w:rPr>
          <w:rFonts w:hint="eastAsia" w:ascii="仿宋" w:hAnsi="仿宋" w:eastAsia="仿宋" w:cs="仿宋"/>
          <w:color w:val="000000" w:themeColor="text1"/>
          <w:kern w:val="0"/>
          <w:sz w:val="24"/>
          <w:szCs w:val="24"/>
          <w:highlight w:val="none"/>
          <w14:textFill>
            <w14:solidFill>
              <w14:schemeClr w14:val="tx1"/>
            </w14:solidFill>
          </w14:textFill>
        </w:rPr>
        <w:t xml:space="preserve">    地    址：</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浏阳市道吾山西路452号</w:t>
      </w:r>
    </w:p>
    <w:p w14:paraId="746E5673">
      <w:pPr>
        <w:widowControl/>
        <w:spacing w:line="312" w:lineRule="auto"/>
        <w:ind w:left="479" w:leftChars="228" w:right="-105"/>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 系 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张老师</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cr/>
      </w:r>
      <w:r>
        <w:rPr>
          <w:rFonts w:hint="eastAsia" w:ascii="仿宋" w:hAnsi="仿宋" w:eastAsia="仿宋" w:cs="仿宋"/>
          <w:color w:val="000000" w:themeColor="text1"/>
          <w:kern w:val="0"/>
          <w:sz w:val="24"/>
          <w:szCs w:val="24"/>
          <w:highlight w:val="none"/>
          <w14:textFill>
            <w14:solidFill>
              <w14:schemeClr w14:val="tx1"/>
            </w14:solidFill>
          </w14:textFill>
        </w:rPr>
        <w:t xml:space="preserve">电    话：17708431023 </w:t>
      </w:r>
    </w:p>
    <w:p w14:paraId="0C061F3B">
      <w:pPr>
        <w:widowControl/>
        <w:spacing w:line="312" w:lineRule="auto"/>
        <w:ind w:right="-105"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采购代理机构：湖南鑫卫医药电子商务科技发展有限公司</w:t>
      </w:r>
    </w:p>
    <w:p w14:paraId="483E04B6">
      <w:pPr>
        <w:widowControl/>
        <w:spacing w:line="312"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址：长沙市开福区芙蓉中路一段88号天健一平方英里H栋8楼</w:t>
      </w:r>
    </w:p>
    <w:p w14:paraId="14D71652">
      <w:pPr>
        <w:widowControl/>
        <w:spacing w:line="312" w:lineRule="auto"/>
        <w:ind w:right="-105" w:firstLine="480" w:firstLineChars="200"/>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向钰军、黄蓉</w:t>
      </w:r>
    </w:p>
    <w:p w14:paraId="4BD52DE7">
      <w:pPr>
        <w:widowControl/>
        <w:spacing w:line="312" w:lineRule="auto"/>
        <w:ind w:right="-105" w:firstLine="480" w:firstLineChars="20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电 话：4006968998</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选2</w:t>
      </w:r>
      <w:r>
        <w:rPr>
          <w:rFonts w:hint="eastAsia" w:ascii="仿宋" w:hAnsi="仿宋" w:eastAsia="仿宋" w:cs="仿宋"/>
          <w:color w:val="000000" w:themeColor="text1"/>
          <w:kern w:val="0"/>
          <w:sz w:val="24"/>
          <w:szCs w:val="24"/>
          <w:highlight w:val="none"/>
          <w14:textFill>
            <w14:solidFill>
              <w14:schemeClr w14:val="tx1"/>
            </w14:solidFill>
          </w14:textFill>
        </w:rPr>
        <w:t>转96</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/15111323816</w:t>
      </w:r>
    </w:p>
    <w:p w14:paraId="516728CC">
      <w:pPr>
        <w:rPr>
          <w:rFonts w:hint="eastAsia" w:ascii="仿宋" w:hAnsi="仿宋" w:eastAsia="仿宋" w:cs="仿宋"/>
          <w:color w:val="000000" w:themeColor="text1"/>
          <w:kern w:val="0"/>
          <w:highlight w:val="none"/>
          <w14:textFill>
            <w14:solidFill>
              <w14:schemeClr w14:val="tx1"/>
            </w14:solidFill>
          </w14:textFill>
        </w:rPr>
      </w:pPr>
      <w:bookmarkStart w:id="10" w:name="_Hlk70256003"/>
      <w:r>
        <w:rPr>
          <w:rFonts w:hint="eastAsia" w:ascii="仿宋" w:hAnsi="仿宋" w:eastAsia="仿宋" w:cs="仿宋"/>
          <w:color w:val="000000" w:themeColor="text1"/>
          <w:kern w:val="0"/>
          <w:highlight w:val="none"/>
          <w14:textFill>
            <w14:solidFill>
              <w14:schemeClr w14:val="tx1"/>
            </w14:solidFill>
          </w14:textFill>
        </w:rPr>
        <w:br w:type="page"/>
      </w:r>
    </w:p>
    <w:p w14:paraId="71613CC5">
      <w:pPr>
        <w:pStyle w:val="2"/>
        <w:jc w:val="center"/>
        <w:rPr>
          <w:rFonts w:hint="eastAsia" w:ascii="仿宋" w:hAnsi="仿宋" w:eastAsia="仿宋" w:cs="仿宋"/>
          <w:color w:val="000000" w:themeColor="text1"/>
          <w:sz w:val="28"/>
          <w:szCs w:val="28"/>
          <w:highlight w:val="none"/>
          <w14:textFill>
            <w14:solidFill>
              <w14:schemeClr w14:val="tx1"/>
            </w14:solidFill>
          </w14:textFill>
        </w:rPr>
      </w:pPr>
      <w:bookmarkStart w:id="11" w:name="_Toc12472"/>
      <w:r>
        <w:rPr>
          <w:rFonts w:hint="eastAsia"/>
          <w:color w:val="000000" w:themeColor="text1"/>
          <w:sz w:val="36"/>
          <w:szCs w:val="36"/>
          <w:highlight w:val="none"/>
          <w14:textFill>
            <w14:solidFill>
              <w14:schemeClr w14:val="tx1"/>
            </w14:solidFill>
          </w14:textFill>
        </w:rPr>
        <w:t>第</w:t>
      </w:r>
      <w:r>
        <w:rPr>
          <w:rFonts w:hint="eastAsia"/>
          <w:color w:val="000000" w:themeColor="text1"/>
          <w:sz w:val="36"/>
          <w:szCs w:val="36"/>
          <w:highlight w:val="none"/>
          <w:lang w:val="en-US" w:eastAsia="zh-CN"/>
          <w14:textFill>
            <w14:solidFill>
              <w14:schemeClr w14:val="tx1"/>
            </w14:solidFill>
          </w14:textFill>
        </w:rPr>
        <w:t>二</w:t>
      </w:r>
      <w:r>
        <w:rPr>
          <w:rFonts w:hint="eastAsia"/>
          <w:color w:val="000000" w:themeColor="text1"/>
          <w:sz w:val="36"/>
          <w:szCs w:val="36"/>
          <w:highlight w:val="none"/>
          <w14:textFill>
            <w14:solidFill>
              <w14:schemeClr w14:val="tx1"/>
            </w14:solidFill>
          </w14:textFill>
        </w:rPr>
        <w:t>章遴选须知</w:t>
      </w:r>
      <w:bookmarkEnd w:id="11"/>
    </w:p>
    <w:p w14:paraId="31C62A09">
      <w:pPr>
        <w:pStyle w:val="14"/>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第一节 遴选须知前附表</w:t>
      </w:r>
    </w:p>
    <w:tbl>
      <w:tblPr>
        <w:tblStyle w:val="36"/>
        <w:tblW w:w="8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4"/>
        <w:gridCol w:w="7607"/>
      </w:tblGrid>
      <w:tr w14:paraId="1E3E2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954" w:type="dxa"/>
            <w:noWrap/>
            <w:vAlign w:val="center"/>
          </w:tcPr>
          <w:p w14:paraId="0C1371CD">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条款号</w:t>
            </w:r>
          </w:p>
        </w:tc>
        <w:tc>
          <w:tcPr>
            <w:tcW w:w="7607" w:type="dxa"/>
            <w:noWrap/>
            <w:vAlign w:val="center"/>
          </w:tcPr>
          <w:p w14:paraId="5AE4CC00">
            <w:pPr>
              <w:snapToGrid w:val="0"/>
              <w:spacing w:line="276" w:lineRule="auto"/>
              <w:ind w:firstLine="2741" w:firstLineChars="1300"/>
              <w:jc w:val="both"/>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内      容</w:t>
            </w:r>
          </w:p>
        </w:tc>
      </w:tr>
      <w:tr w14:paraId="4A1EE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9" w:hRule="atLeast"/>
          <w:jc w:val="center"/>
        </w:trPr>
        <w:tc>
          <w:tcPr>
            <w:tcW w:w="8561" w:type="dxa"/>
            <w:gridSpan w:val="2"/>
            <w:noWrap/>
            <w:vAlign w:val="center"/>
          </w:tcPr>
          <w:p w14:paraId="2ACA9FBB">
            <w:pPr>
              <w:snapToGrid w:val="0"/>
              <w:spacing w:line="276" w:lineRule="auto"/>
              <w:ind w:firstLine="0" w:firstLineChars="0"/>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说 </w:t>
            </w:r>
            <w:r>
              <w:rPr>
                <w:rFonts w:hint="eastAsia" w:ascii="仿宋" w:hAnsi="仿宋" w:eastAsia="仿宋" w:cs="仿宋"/>
                <w:b/>
                <w:color w:val="000000" w:themeColor="text1"/>
                <w:highlight w:val="none"/>
                <w:lang w:val="en-US" w:eastAsia="zh-CN"/>
                <w14:textFill>
                  <w14:solidFill>
                    <w14:schemeClr w14:val="tx1"/>
                  </w14:solidFill>
                </w14:textFill>
              </w:rPr>
              <w:t xml:space="preserve"> </w:t>
            </w:r>
            <w:r>
              <w:rPr>
                <w:rFonts w:hint="eastAsia" w:ascii="仿宋" w:hAnsi="仿宋" w:eastAsia="仿宋" w:cs="仿宋"/>
                <w:b/>
                <w:color w:val="000000" w:themeColor="text1"/>
                <w:highlight w:val="none"/>
                <w14:textFill>
                  <w14:solidFill>
                    <w14:schemeClr w14:val="tx1"/>
                  </w14:solidFill>
                </w14:textFill>
              </w:rPr>
              <w:t xml:space="preserve">    明</w:t>
            </w:r>
          </w:p>
        </w:tc>
      </w:tr>
      <w:tr w14:paraId="56D7B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9" w:hRule="atLeast"/>
          <w:jc w:val="center"/>
        </w:trPr>
        <w:tc>
          <w:tcPr>
            <w:tcW w:w="954" w:type="dxa"/>
            <w:noWrap/>
            <w:vAlign w:val="center"/>
          </w:tcPr>
          <w:p w14:paraId="046B2D76">
            <w:pPr>
              <w:snapToGrid w:val="0"/>
              <w:spacing w:line="240" w:lineRule="auto"/>
              <w:ind w:firstLine="0" w:firstLineChars="0"/>
              <w:jc w:val="center"/>
              <w:rPr>
                <w:rFonts w:hint="default"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1.1</w:t>
            </w:r>
          </w:p>
        </w:tc>
        <w:tc>
          <w:tcPr>
            <w:tcW w:w="7607" w:type="dxa"/>
            <w:noWrap/>
            <w:vAlign w:val="center"/>
          </w:tcPr>
          <w:p w14:paraId="4928EB78">
            <w:pPr>
              <w:snapToGrid w:val="0"/>
              <w:spacing w:line="276" w:lineRule="auto"/>
              <w:ind w:firstLine="0" w:firstLineChars="0"/>
              <w:jc w:val="lef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lang w:eastAsia="zh-CN"/>
                <w14:textFill>
                  <w14:solidFill>
                    <w14:schemeClr w14:val="tx1"/>
                  </w14:solidFill>
                </w14:textFill>
              </w:rPr>
              <w:t>浏阳市人民医院2025年新增试剂配送服务（第二批）入围遴选项目</w:t>
            </w:r>
          </w:p>
        </w:tc>
      </w:tr>
      <w:tr w14:paraId="42E7C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58C3FAA9">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w:t>
            </w:r>
          </w:p>
        </w:tc>
        <w:tc>
          <w:tcPr>
            <w:tcW w:w="7607" w:type="dxa"/>
            <w:noWrap/>
            <w:vAlign w:val="center"/>
          </w:tcPr>
          <w:p w14:paraId="644DD53D">
            <w:pPr>
              <w:snapToGrid w:val="0"/>
              <w:spacing w:line="276" w:lineRule="auto"/>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采购人：</w:t>
            </w:r>
            <w:r>
              <w:rPr>
                <w:rFonts w:hint="eastAsia" w:ascii="仿宋" w:hAnsi="仿宋" w:eastAsia="仿宋" w:cs="仿宋"/>
                <w:color w:val="000000" w:themeColor="text1"/>
                <w:highlight w:val="none"/>
                <w:lang w:eastAsia="zh-CN"/>
                <w14:textFill>
                  <w14:solidFill>
                    <w14:schemeClr w14:val="tx1"/>
                  </w14:solidFill>
                </w14:textFill>
              </w:rPr>
              <w:t>浏阳市人民医院</w:t>
            </w:r>
          </w:p>
          <w:p w14:paraId="52E87D05">
            <w:pPr>
              <w:snapToGrid w:val="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r>
              <w:rPr>
                <w:rFonts w:hint="eastAsia" w:ascii="仿宋" w:hAnsi="仿宋" w:eastAsia="仿宋" w:cs="仿宋"/>
                <w:color w:val="000000" w:themeColor="text1"/>
                <w:highlight w:val="none"/>
                <w:lang w:eastAsia="zh-CN"/>
                <w14:textFill>
                  <w14:solidFill>
                    <w14:schemeClr w14:val="tx1"/>
                  </w14:solidFill>
                </w14:textFill>
              </w:rPr>
              <w:t>张老师</w:t>
            </w:r>
            <w:r>
              <w:rPr>
                <w:rFonts w:hint="eastAsia" w:ascii="仿宋" w:hAnsi="仿宋" w:eastAsia="仿宋" w:cs="仿宋"/>
                <w:color w:val="000000" w:themeColor="text1"/>
                <w:highlight w:val="none"/>
                <w14:textFill>
                  <w14:solidFill>
                    <w14:schemeClr w14:val="tx1"/>
                  </w14:solidFill>
                </w14:textFill>
              </w:rPr>
              <w:t xml:space="preserve"> </w:t>
            </w:r>
          </w:p>
          <w:p w14:paraId="4851C476">
            <w:pPr>
              <w:snapToGrid w:val="0"/>
              <w:spacing w:line="276" w:lineRule="auto"/>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话：</w:t>
            </w:r>
            <w:r>
              <w:rPr>
                <w:rFonts w:hint="eastAsia" w:ascii="仿宋" w:hAnsi="仿宋" w:eastAsia="仿宋" w:cs="仿宋"/>
                <w:color w:val="000000" w:themeColor="text1"/>
                <w:kern w:val="2"/>
                <w:sz w:val="21"/>
                <w:szCs w:val="21"/>
                <w:highlight w:val="none"/>
                <w14:textFill>
                  <w14:solidFill>
                    <w14:schemeClr w14:val="tx1"/>
                  </w14:solidFill>
                </w14:textFill>
              </w:rPr>
              <w:t>17708431023</w:t>
            </w:r>
          </w:p>
        </w:tc>
      </w:tr>
      <w:tr w14:paraId="49B70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4AEAA139">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w:t>
            </w:r>
          </w:p>
        </w:tc>
        <w:tc>
          <w:tcPr>
            <w:tcW w:w="7607" w:type="dxa"/>
            <w:noWrap/>
            <w:vAlign w:val="center"/>
          </w:tcPr>
          <w:p w14:paraId="3B10084B">
            <w:pPr>
              <w:widowControl/>
              <w:snapToGrid w:val="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采购代理机构名称：湖南鑫卫医药电子商务科技发展有限公司</w:t>
            </w:r>
          </w:p>
          <w:p w14:paraId="0B45ED1E">
            <w:pPr>
              <w:widowControl/>
              <w:snapToGrid w:val="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地址：长沙市开福区芙蓉中路一段88号天健一平方英里H栋8楼</w:t>
            </w:r>
          </w:p>
          <w:p w14:paraId="6AF8657D">
            <w:pPr>
              <w:widowControl/>
              <w:snapToGrid w:val="0"/>
              <w:spacing w:line="276" w:lineRule="auto"/>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r>
              <w:rPr>
                <w:rFonts w:hint="eastAsia" w:ascii="仿宋" w:hAnsi="仿宋" w:eastAsia="仿宋" w:cs="仿宋"/>
                <w:color w:val="000000" w:themeColor="text1"/>
                <w:highlight w:val="none"/>
                <w:lang w:eastAsia="zh-CN"/>
                <w14:textFill>
                  <w14:solidFill>
                    <w14:schemeClr w14:val="tx1"/>
                  </w14:solidFill>
                </w14:textFill>
              </w:rPr>
              <w:t>向钰军、黄蓉</w:t>
            </w:r>
          </w:p>
          <w:p w14:paraId="29B7DEBC">
            <w:pPr>
              <w:widowControl/>
              <w:snapToGrid w:val="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w:t>
            </w:r>
            <w:r>
              <w:rPr>
                <w:rFonts w:hint="eastAsia" w:ascii="仿宋" w:hAnsi="仿宋" w:eastAsia="仿宋" w:cs="仿宋"/>
                <w:color w:val="000000" w:themeColor="text1"/>
                <w:kern w:val="2"/>
                <w:sz w:val="21"/>
                <w:szCs w:val="21"/>
                <w:highlight w:val="none"/>
                <w14:textFill>
                  <w14:solidFill>
                    <w14:schemeClr w14:val="tx1"/>
                  </w14:solidFill>
                </w14:textFill>
              </w:rPr>
              <w:t>4006968998</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选2</w:t>
            </w:r>
            <w:r>
              <w:rPr>
                <w:rFonts w:hint="eastAsia" w:ascii="仿宋" w:hAnsi="仿宋" w:eastAsia="仿宋" w:cs="仿宋"/>
                <w:color w:val="000000" w:themeColor="text1"/>
                <w:kern w:val="2"/>
                <w:sz w:val="21"/>
                <w:szCs w:val="21"/>
                <w:highlight w:val="none"/>
                <w14:textFill>
                  <w14:solidFill>
                    <w14:schemeClr w14:val="tx1"/>
                  </w14:solidFill>
                </w14:textFill>
              </w:rPr>
              <w:t>转96</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/15111323816</w:t>
            </w:r>
          </w:p>
        </w:tc>
      </w:tr>
      <w:tr w14:paraId="09108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070AA818">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w:t>
            </w:r>
          </w:p>
        </w:tc>
        <w:tc>
          <w:tcPr>
            <w:tcW w:w="7607" w:type="dxa"/>
            <w:noWrap/>
            <w:vAlign w:val="center"/>
          </w:tcPr>
          <w:p w14:paraId="2EBE78F1">
            <w:pPr>
              <w:snapToGrid w:val="0"/>
              <w:spacing w:line="276"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供应商资格要求：详见第一章</w:t>
            </w:r>
          </w:p>
          <w:p w14:paraId="6E4D56C7">
            <w:pPr>
              <w:snapToGrid w:val="0"/>
              <w:spacing w:line="276"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资格审查方式：资格后审</w:t>
            </w:r>
          </w:p>
        </w:tc>
      </w:tr>
      <w:tr w14:paraId="5AE2F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8561" w:type="dxa"/>
            <w:gridSpan w:val="2"/>
            <w:noWrap/>
            <w:vAlign w:val="center"/>
          </w:tcPr>
          <w:p w14:paraId="5AFD30F3">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遴 选 文 件</w:t>
            </w:r>
          </w:p>
        </w:tc>
      </w:tr>
      <w:tr w14:paraId="67273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5D55BBF0">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w:t>
            </w:r>
          </w:p>
        </w:tc>
        <w:tc>
          <w:tcPr>
            <w:tcW w:w="7607" w:type="dxa"/>
            <w:noWrap/>
            <w:vAlign w:val="center"/>
          </w:tcPr>
          <w:p w14:paraId="193D717E">
            <w:pPr>
              <w:snapToGrid w:val="0"/>
              <w:spacing w:line="276"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如认为遴选文件中存在含糊不清、相互矛盾、多种含义以及歧视性不公正条款或违法违规等内容时，可以在收到遴选文件之日或遴选公告期限届满之日起七个工作日内，向采购代理机构提交书面材料。否则视为认可并接受遴选文件全部内容。</w:t>
            </w:r>
          </w:p>
        </w:tc>
      </w:tr>
      <w:tr w14:paraId="30C5D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4" w:hRule="atLeast"/>
          <w:jc w:val="center"/>
        </w:trPr>
        <w:tc>
          <w:tcPr>
            <w:tcW w:w="8561" w:type="dxa"/>
            <w:gridSpan w:val="2"/>
            <w:noWrap/>
            <w:vAlign w:val="center"/>
          </w:tcPr>
          <w:p w14:paraId="6FB111B4">
            <w:pPr>
              <w:snapToGrid w:val="0"/>
              <w:spacing w:line="276" w:lineRule="auto"/>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响 应 资 料 的 编 制 </w:t>
            </w:r>
          </w:p>
        </w:tc>
      </w:tr>
      <w:tr w14:paraId="4D5EC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4" w:type="dxa"/>
            <w:tcBorders>
              <w:bottom w:val="single" w:color="auto" w:sz="6" w:space="0"/>
            </w:tcBorders>
            <w:noWrap/>
            <w:vAlign w:val="center"/>
          </w:tcPr>
          <w:p w14:paraId="6AF9C01E">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10.1</w:t>
            </w:r>
          </w:p>
        </w:tc>
        <w:tc>
          <w:tcPr>
            <w:tcW w:w="7607" w:type="dxa"/>
            <w:tcBorders>
              <w:bottom w:val="single" w:color="auto" w:sz="6" w:space="0"/>
            </w:tcBorders>
            <w:noWrap/>
          </w:tcPr>
          <w:p w14:paraId="322D0C5E">
            <w:pPr>
              <w:snapToGrid w:val="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产品报价内容：</w:t>
            </w:r>
          </w:p>
          <w:p w14:paraId="1F155F19">
            <w:pPr>
              <w:snapToGrid w:val="0"/>
              <w:spacing w:line="276" w:lineRule="auto"/>
              <w:jc w:val="lef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1、填报销售至最终目的地的价格。</w:t>
            </w:r>
          </w:p>
          <w:p w14:paraId="2DCC27AA">
            <w:pPr>
              <w:snapToGrid w:val="0"/>
              <w:spacing w:line="276" w:lineRule="auto"/>
              <w:jc w:val="lef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2、包括但不限于出厂价、辅件配件费、货物配送到达最终目的地点的相关运输费、保险、进口环节税、商检费、消费税、增值税、仓储、装卸费、安装、检测、利润、税金、人员培训等伴随服务费。</w:t>
            </w:r>
          </w:p>
        </w:tc>
      </w:tr>
      <w:tr w14:paraId="1AF08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 w:hRule="atLeast"/>
          <w:jc w:val="center"/>
        </w:trPr>
        <w:tc>
          <w:tcPr>
            <w:tcW w:w="954" w:type="dxa"/>
            <w:tcBorders>
              <w:bottom w:val="single" w:color="auto" w:sz="6" w:space="0"/>
            </w:tcBorders>
            <w:noWrap/>
            <w:vAlign w:val="center"/>
          </w:tcPr>
          <w:p w14:paraId="1EF69BF0">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10.2</w:t>
            </w:r>
          </w:p>
        </w:tc>
        <w:tc>
          <w:tcPr>
            <w:tcW w:w="7607" w:type="dxa"/>
            <w:tcBorders>
              <w:bottom w:val="single" w:color="auto" w:sz="6" w:space="0"/>
            </w:tcBorders>
            <w:noWrap/>
          </w:tcPr>
          <w:p w14:paraId="47374C47">
            <w:pPr>
              <w:snapToGrid/>
              <w:spacing w:line="240"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是否设最高报价限价：详见第三章</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14:textFill>
                  <w14:solidFill>
                    <w14:schemeClr w14:val="tx1"/>
                  </w14:solidFill>
                </w14:textFill>
              </w:rPr>
              <w:t>申报阶段报价方式：</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b/>
                <w:bCs/>
                <w:color w:val="000000" w:themeColor="text1"/>
                <w:szCs w:val="21"/>
                <w:highlight w:val="none"/>
                <w:lang w:val="en-US" w:eastAsia="zh-CN"/>
                <w14:textFill>
                  <w14:solidFill>
                    <w14:schemeClr w14:val="tx1"/>
                  </w14:solidFill>
                </w14:textFill>
              </w:rPr>
              <w:t>按统一折扣进行报价，</w:t>
            </w:r>
            <w:r>
              <w:rPr>
                <w:rFonts w:hint="eastAsia" w:ascii="仿宋" w:hAnsi="仿宋" w:eastAsia="仿宋" w:cs="仿宋"/>
                <w:b/>
                <w:bCs/>
                <w:color w:val="000000" w:themeColor="text1"/>
                <w:szCs w:val="21"/>
                <w:highlight w:val="none"/>
                <w14:textFill>
                  <w14:solidFill>
                    <w14:schemeClr w14:val="tx1"/>
                  </w14:solidFill>
                </w14:textFill>
              </w:rPr>
              <w:t>否则响应无效。</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14:textFill>
                  <w14:solidFill>
                    <w14:schemeClr w14:val="tx1"/>
                  </w14:solidFill>
                </w14:textFill>
              </w:rPr>
              <w:t>供应商报价应符合以上报价原则，否则响应无效。</w:t>
            </w:r>
          </w:p>
          <w:p w14:paraId="005D4E66">
            <w:pPr>
              <w:snapToGrid w:val="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供应商对所响应的产品不得恶意低价响应，并承诺响应的所有规格型号产品在供货期内预留充足备货，按采购人的要求及时供货。遴选不以最低报价作为入围的唯一标准。</w:t>
            </w:r>
          </w:p>
        </w:tc>
      </w:tr>
      <w:tr w14:paraId="41DE2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54" w:type="dxa"/>
            <w:tcBorders>
              <w:top w:val="single" w:color="auto" w:sz="4" w:space="0"/>
            </w:tcBorders>
            <w:noWrap/>
            <w:vAlign w:val="center"/>
          </w:tcPr>
          <w:p w14:paraId="56EC73C9">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12.1</w:t>
            </w:r>
          </w:p>
        </w:tc>
        <w:tc>
          <w:tcPr>
            <w:tcW w:w="7607" w:type="dxa"/>
            <w:tcBorders>
              <w:top w:val="single" w:color="auto" w:sz="4" w:space="0"/>
            </w:tcBorders>
            <w:noWrap/>
            <w:vAlign w:val="center"/>
          </w:tcPr>
          <w:p w14:paraId="3D2771FF">
            <w:pPr>
              <w:snapToGrid w:val="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
                <w:sz w:val="21"/>
                <w:szCs w:val="20"/>
                <w:highlight w:val="none"/>
                <w:lang w:val="en-US" w:eastAsia="zh-CN" w:bidi="ar-SA"/>
                <w14:textFill>
                  <w14:solidFill>
                    <w14:schemeClr w14:val="tx1"/>
                  </w14:solidFill>
                </w14:textFill>
              </w:rPr>
              <w:t>本项目是否收取投标保证金:否</w:t>
            </w:r>
          </w:p>
        </w:tc>
      </w:tr>
      <w:tr w14:paraId="52095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54" w:type="dxa"/>
            <w:noWrap/>
            <w:vAlign w:val="center"/>
          </w:tcPr>
          <w:p w14:paraId="2012283E">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13</w:t>
            </w:r>
          </w:p>
        </w:tc>
        <w:tc>
          <w:tcPr>
            <w:tcW w:w="7607" w:type="dxa"/>
            <w:noWrap/>
            <w:vAlign w:val="center"/>
          </w:tcPr>
          <w:p w14:paraId="709503E5">
            <w:pPr>
              <w:snapToGrid w:val="0"/>
              <w:spacing w:line="276" w:lineRule="auto"/>
              <w:jc w:val="left"/>
              <w:rPr>
                <w:rFonts w:hint="eastAsia" w:ascii="仿宋" w:hAnsi="仿宋" w:eastAsia="仿宋" w:cs="仿宋"/>
                <w:i/>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有效期：</w:t>
            </w:r>
            <w:r>
              <w:rPr>
                <w:rFonts w:hint="eastAsia" w:ascii="仿宋" w:hAnsi="仿宋" w:eastAsia="仿宋" w:cs="仿宋"/>
                <w:b/>
                <w:color w:val="000000" w:themeColor="text1"/>
                <w:highlight w:val="none"/>
                <w14:textFill>
                  <w14:solidFill>
                    <w14:schemeClr w14:val="tx1"/>
                  </w14:solidFill>
                </w14:textFill>
              </w:rPr>
              <w:t>90（日历日）。</w:t>
            </w:r>
          </w:p>
        </w:tc>
      </w:tr>
      <w:tr w14:paraId="1EAC7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8561" w:type="dxa"/>
            <w:gridSpan w:val="2"/>
            <w:noWrap/>
            <w:vAlign w:val="center"/>
          </w:tcPr>
          <w:p w14:paraId="5D731E4B">
            <w:pPr>
              <w:snapToGrid w:val="0"/>
              <w:spacing w:line="276" w:lineRule="auto"/>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响 应 资 料 的 要 求 </w:t>
            </w:r>
          </w:p>
        </w:tc>
      </w:tr>
      <w:tr w14:paraId="7D542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54" w:type="dxa"/>
            <w:noWrap/>
            <w:vAlign w:val="center"/>
          </w:tcPr>
          <w:p w14:paraId="57F7E65E">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16.1</w:t>
            </w:r>
          </w:p>
        </w:tc>
        <w:tc>
          <w:tcPr>
            <w:tcW w:w="7607" w:type="dxa"/>
            <w:noWrap/>
            <w:vAlign w:val="center"/>
          </w:tcPr>
          <w:p w14:paraId="69327279">
            <w:pPr>
              <w:autoSpaceDE w:val="0"/>
              <w:autoSpaceDN w:val="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i w:val="0"/>
                <w:iCs w:val="0"/>
                <w:caps w:val="0"/>
                <w:color w:val="000000" w:themeColor="text1"/>
                <w:spacing w:val="0"/>
                <w:sz w:val="21"/>
                <w:szCs w:val="20"/>
                <w:highlight w:val="none"/>
                <w:shd w:val="clear"/>
                <w14:textFill>
                  <w14:solidFill>
                    <w14:schemeClr w14:val="tx1"/>
                  </w14:solidFill>
                </w14:textFill>
              </w:rPr>
              <w:t>供应商应按照遴选文件和鑫卫平台的要求编制电子入围响应文件及产品申报，在遴选文件规定的开标时间前将电子入围响应文件及产品申报上传到鑫卫平台的对应项目。未按要求上传或逾期上传的入围响应文件及产品申报，鑫卫平台将无法接受，所导致后果由供应商自行承担</w:t>
            </w:r>
            <w:r>
              <w:rPr>
                <w:rFonts w:hint="eastAsia" w:ascii="仿宋" w:hAnsi="仿宋" w:eastAsia="仿宋" w:cs="仿宋"/>
                <w:i w:val="0"/>
                <w:iCs w:val="0"/>
                <w:caps w:val="0"/>
                <w:color w:val="000000" w:themeColor="text1"/>
                <w:spacing w:val="0"/>
                <w:sz w:val="21"/>
                <w:szCs w:val="20"/>
                <w:highlight w:val="none"/>
                <w:shd w:val="clear"/>
                <w:lang w:eastAsia="zh-CN"/>
                <w14:textFill>
                  <w14:solidFill>
                    <w14:schemeClr w14:val="tx1"/>
                  </w14:solidFill>
                </w14:textFill>
              </w:rPr>
              <w:t>。</w:t>
            </w:r>
          </w:p>
        </w:tc>
      </w:tr>
      <w:tr w14:paraId="1DBEE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54" w:type="dxa"/>
            <w:noWrap/>
            <w:vAlign w:val="center"/>
          </w:tcPr>
          <w:p w14:paraId="056BB741">
            <w:pPr>
              <w:snapToGrid w:val="0"/>
              <w:spacing w:line="32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21.3</w:t>
            </w:r>
          </w:p>
        </w:tc>
        <w:tc>
          <w:tcPr>
            <w:tcW w:w="7607" w:type="dxa"/>
            <w:noWrap/>
            <w:vAlign w:val="center"/>
          </w:tcPr>
          <w:p w14:paraId="656CC298">
            <w:pPr>
              <w:autoSpaceDE w:val="0"/>
              <w:autoSpaceDN w:val="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履约担保：</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 xml:space="preserve">  需要，金额约为预估年用量金额的</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p>
          <w:p w14:paraId="5FD81480">
            <w:pPr>
              <w:autoSpaceDE w:val="0"/>
              <w:autoSpaceDN w:val="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 xml:space="preserve">  不需要</w:t>
            </w:r>
          </w:p>
        </w:tc>
      </w:tr>
      <w:tr w14:paraId="3505A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61" w:type="dxa"/>
            <w:gridSpan w:val="2"/>
            <w:noWrap/>
            <w:vAlign w:val="center"/>
          </w:tcPr>
          <w:p w14:paraId="54F6A271">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其  他</w:t>
            </w:r>
          </w:p>
        </w:tc>
      </w:tr>
      <w:tr w14:paraId="0EE7D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954" w:type="dxa"/>
            <w:noWrap/>
            <w:vAlign w:val="center"/>
          </w:tcPr>
          <w:p w14:paraId="6D2C1B2D">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23.1</w:t>
            </w:r>
          </w:p>
        </w:tc>
        <w:tc>
          <w:tcPr>
            <w:tcW w:w="7607" w:type="dxa"/>
            <w:noWrap/>
            <w:vAlign w:val="center"/>
          </w:tcPr>
          <w:p w14:paraId="1B0931F7">
            <w:pPr>
              <w:shd w:val="clear"/>
              <w:snapToGrid w:val="0"/>
              <w:spacing w:line="32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代理服务费的缴纳：</w:t>
            </w:r>
          </w:p>
          <w:p w14:paraId="4722B9A5">
            <w:pPr>
              <w:keepNext w:val="0"/>
              <w:keepLines w:val="0"/>
              <w:pageBreakBefore w:val="0"/>
              <w:widowControl/>
              <w:shd w:val="clear"/>
              <w:kinsoku/>
              <w:wordWrap/>
              <w:overflowPunct/>
              <w:topLinePunct w:val="0"/>
              <w:autoSpaceDE/>
              <w:autoSpaceDN/>
              <w:bidi w:val="0"/>
              <w:adjustRightInd/>
              <w:snapToGrid w:val="0"/>
              <w:spacing w:line="320" w:lineRule="exact"/>
              <w:textAlignment w:val="auto"/>
              <w:rPr>
                <w:rFonts w:hint="eastAsia" w:ascii="仿宋" w:hAnsi="仿宋" w:eastAsia="仿宋" w:cs="仿宋"/>
                <w:b w:val="0"/>
                <w:bCs w:val="0"/>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highlight w:val="none"/>
                <w:lang w:val="en-US" w:eastAsia="zh-CN"/>
                <w14:textFill>
                  <w14:solidFill>
                    <w14:schemeClr w14:val="tx1"/>
                  </w14:solidFill>
                </w14:textFill>
              </w:rPr>
              <w:t>包2：1500元；包7：1500元；包8:1500元；</w:t>
            </w:r>
            <w:r>
              <w:rPr>
                <w:rFonts w:hint="eastAsia" w:ascii="仿宋" w:hAnsi="仿宋" w:eastAsia="仿宋" w:cs="仿宋"/>
                <w:b w:val="0"/>
                <w:color w:val="000000" w:themeColor="text1"/>
                <w:highlight w:val="none"/>
                <w:lang w:val="en-US" w:eastAsia="zh-CN"/>
                <w14:textFill>
                  <w14:solidFill>
                    <w14:schemeClr w14:val="tx1"/>
                  </w14:solidFill>
                </w14:textFill>
              </w:rPr>
              <w:br w:type="textWrapping"/>
            </w:r>
            <w:r>
              <w:rPr>
                <w:rFonts w:hint="eastAsia" w:ascii="仿宋" w:hAnsi="仿宋" w:eastAsia="仿宋" w:cs="仿宋"/>
                <w:b w:val="0"/>
                <w:color w:val="000000" w:themeColor="text1"/>
                <w:highlight w:val="none"/>
                <w:lang w:val="en-US" w:eastAsia="zh-CN"/>
                <w14:textFill>
                  <w14:solidFill>
                    <w14:schemeClr w14:val="tx1"/>
                  </w14:solidFill>
                </w14:textFill>
              </w:rPr>
              <w:t>备注：年用量未超过10万元不收取此费用。</w:t>
            </w:r>
          </w:p>
          <w:p w14:paraId="6906D878">
            <w:pPr>
              <w:widowControl/>
              <w:shd w:val="clear"/>
              <w:spacing w:line="240" w:lineRule="auto"/>
              <w:ind w:right="84" w:rightChars="4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支付方式及时间：本项目入围</w:t>
            </w:r>
            <w:r>
              <w:rPr>
                <w:rFonts w:hint="eastAsia" w:ascii="仿宋" w:hAnsi="仿宋" w:eastAsia="仿宋" w:cs="仿宋"/>
                <w:color w:val="000000" w:themeColor="text1"/>
                <w:szCs w:val="21"/>
                <w:highlight w:val="none"/>
                <w:lang w:val="en-US" w:eastAsia="zh-CN"/>
                <w14:textFill>
                  <w14:solidFill>
                    <w14:schemeClr w14:val="tx1"/>
                  </w14:solidFill>
                </w14:textFill>
              </w:rPr>
              <w:t>供应商</w:t>
            </w:r>
            <w:r>
              <w:rPr>
                <w:rFonts w:hint="eastAsia" w:ascii="仿宋" w:hAnsi="仿宋" w:eastAsia="仿宋" w:cs="仿宋"/>
                <w:color w:val="000000" w:themeColor="text1"/>
                <w:szCs w:val="21"/>
                <w:highlight w:val="none"/>
                <w14:textFill>
                  <w14:solidFill>
                    <w14:schemeClr w14:val="tx1"/>
                  </w14:solidFill>
                </w14:textFill>
              </w:rPr>
              <w:t>在领取入围通知书时，由本项目入围</w:t>
            </w:r>
            <w:r>
              <w:rPr>
                <w:rFonts w:hint="eastAsia" w:ascii="仿宋" w:hAnsi="仿宋" w:eastAsia="仿宋" w:cs="仿宋"/>
                <w:color w:val="000000" w:themeColor="text1"/>
                <w:szCs w:val="21"/>
                <w:highlight w:val="none"/>
                <w:lang w:val="en-US" w:eastAsia="zh-CN"/>
                <w14:textFill>
                  <w14:solidFill>
                    <w14:schemeClr w14:val="tx1"/>
                  </w14:solidFill>
                </w14:textFill>
              </w:rPr>
              <w:t>供应商</w:t>
            </w:r>
            <w:r>
              <w:rPr>
                <w:rFonts w:hint="eastAsia" w:ascii="仿宋" w:hAnsi="仿宋" w:eastAsia="仿宋" w:cs="仿宋"/>
                <w:color w:val="000000" w:themeColor="text1"/>
                <w:szCs w:val="21"/>
                <w:highlight w:val="none"/>
                <w14:textFill>
                  <w14:solidFill>
                    <w14:schemeClr w14:val="tx1"/>
                  </w14:solidFill>
                </w14:textFill>
              </w:rPr>
              <w:t>以转账、现金等付款方式向代理机构一次性支付。</w:t>
            </w:r>
          </w:p>
          <w:p w14:paraId="5E08320C">
            <w:pPr>
              <w:widowControl/>
              <w:shd w:val="clear"/>
              <w:spacing w:line="240" w:lineRule="auto"/>
              <w:ind w:right="84" w:rightChars="4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代理费缴纳账户：</w:t>
            </w:r>
          </w:p>
          <w:p w14:paraId="0D790F98">
            <w:pPr>
              <w:widowControl/>
              <w:shd w:val="clear"/>
              <w:spacing w:line="240" w:lineRule="auto"/>
              <w:ind w:right="84" w:rightChars="4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开户银行：中国银行股份有限公司长沙市黎托路支行</w:t>
            </w:r>
          </w:p>
          <w:p w14:paraId="59BD390D">
            <w:pPr>
              <w:widowControl/>
              <w:shd w:val="clear"/>
              <w:spacing w:line="240" w:lineRule="auto"/>
              <w:ind w:right="84" w:rightChars="4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户    名：湖南鑫卫医药电子商务科技发展有限公司</w:t>
            </w:r>
          </w:p>
          <w:p w14:paraId="6761AD0D">
            <w:pPr>
              <w:spacing w:line="276" w:lineRule="auto"/>
              <w:ind w:firstLine="0" w:firstLineChars="0"/>
              <w:jc w:val="left"/>
              <w:rPr>
                <w:rFonts w:hint="eastAsia" w:ascii="仿宋" w:hAnsi="仿宋" w:eastAsia="仿宋" w:cs="仿宋"/>
                <w:i/>
                <w:color w:val="000000" w:themeColor="text1"/>
                <w:highlight w:val="none"/>
                <w14:textFill>
                  <w14:solidFill>
                    <w14:schemeClr w14:val="tx1"/>
                  </w14:solidFill>
                </w14:textFill>
              </w:rPr>
            </w:pPr>
            <w:r>
              <w:rPr>
                <w:rFonts w:hint="eastAsia" w:ascii="仿宋" w:hAnsi="仿宋" w:eastAsia="仿宋" w:cs="仿宋"/>
                <w:i w:val="0"/>
                <w:color w:val="000000" w:themeColor="text1"/>
                <w:szCs w:val="21"/>
                <w:highlight w:val="none"/>
                <w14:textFill>
                  <w14:solidFill>
                    <w14:schemeClr w14:val="tx1"/>
                  </w14:solidFill>
                </w14:textFill>
              </w:rPr>
              <w:t>账   号：6080 8122 0009</w:t>
            </w:r>
          </w:p>
        </w:tc>
      </w:tr>
      <w:tr w14:paraId="72E78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257" w:hRule="atLeast"/>
          <w:jc w:val="center"/>
        </w:trPr>
        <w:tc>
          <w:tcPr>
            <w:tcW w:w="954" w:type="dxa"/>
            <w:vMerge w:val="restart"/>
            <w:noWrap/>
            <w:vAlign w:val="center"/>
          </w:tcPr>
          <w:p w14:paraId="46A54EB6">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24.1</w:t>
            </w:r>
          </w:p>
        </w:tc>
        <w:tc>
          <w:tcPr>
            <w:tcW w:w="7607" w:type="dxa"/>
            <w:noWrap/>
            <w:vAlign w:val="center"/>
          </w:tcPr>
          <w:p w14:paraId="3BC2DA0B">
            <w:pPr>
              <w:snapToGrid w:val="0"/>
              <w:spacing w:line="276"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在响应文件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p>
        </w:tc>
      </w:tr>
      <w:tr w14:paraId="48E9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10" w:hRule="atLeast"/>
          <w:jc w:val="center"/>
        </w:trPr>
        <w:tc>
          <w:tcPr>
            <w:tcW w:w="954" w:type="dxa"/>
            <w:vMerge w:val="continue"/>
            <w:noWrap/>
            <w:vAlign w:val="center"/>
          </w:tcPr>
          <w:p w14:paraId="5A4FE62A">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p>
        </w:tc>
        <w:tc>
          <w:tcPr>
            <w:tcW w:w="7607" w:type="dxa"/>
            <w:noWrap/>
            <w:vAlign w:val="center"/>
          </w:tcPr>
          <w:p w14:paraId="78887038">
            <w:pPr>
              <w:snapToGrid w:val="0"/>
              <w:spacing w:line="276"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耗材/试剂在合同执行期间，如医保局或发改委或物价局或卫健委等行政部门正式文件作出政策性调整或重新进行遴选时，按照调整后或重新遴选后的相关规定进行供货。</w:t>
            </w:r>
          </w:p>
        </w:tc>
      </w:tr>
      <w:tr w14:paraId="232DD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24" w:hRule="atLeast"/>
          <w:jc w:val="center"/>
        </w:trPr>
        <w:tc>
          <w:tcPr>
            <w:tcW w:w="954" w:type="dxa"/>
            <w:vMerge w:val="continue"/>
            <w:noWrap/>
            <w:vAlign w:val="center"/>
          </w:tcPr>
          <w:p w14:paraId="4A1A7478">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p>
        </w:tc>
        <w:tc>
          <w:tcPr>
            <w:tcW w:w="7607" w:type="dxa"/>
            <w:noWrap/>
            <w:vAlign w:val="center"/>
          </w:tcPr>
          <w:p w14:paraId="17048744">
            <w:pPr>
              <w:snapToGrid w:val="0"/>
              <w:spacing w:line="276" w:lineRule="auto"/>
              <w:rPr>
                <w:rFonts w:hint="eastAsia" w:ascii="仿宋" w:hAnsi="仿宋" w:eastAsia="仿宋" w:cs="仿宋"/>
                <w:b w:val="0"/>
                <w:color w:val="000000" w:themeColor="text1"/>
                <w:szCs w:val="21"/>
                <w:highlight w:val="none"/>
                <w14:textFill>
                  <w14:solidFill>
                    <w14:schemeClr w14:val="tx1"/>
                  </w14:solidFill>
                </w14:textFill>
              </w:rPr>
            </w:pPr>
            <w:r>
              <w:rPr>
                <w:rFonts w:hint="eastAsia" w:ascii="仿宋" w:hAnsi="仿宋" w:eastAsia="仿宋" w:cs="仿宋"/>
                <w:bCs w:val="0"/>
                <w:color w:val="000000" w:themeColor="text1"/>
                <w:highlight w:val="none"/>
                <w:lang w:val="en-US" w:eastAsia="zh-CN"/>
                <w14:textFill>
                  <w14:solidFill>
                    <w14:schemeClr w14:val="tx1"/>
                  </w14:solidFill>
                </w14:textFill>
              </w:rPr>
              <w:t>入围</w:t>
            </w:r>
            <w:r>
              <w:rPr>
                <w:rFonts w:hint="eastAsia" w:ascii="仿宋" w:hAnsi="仿宋" w:eastAsia="仿宋" w:cs="仿宋"/>
                <w:bCs w:val="0"/>
                <w:color w:val="000000" w:themeColor="text1"/>
                <w:highlight w:val="none"/>
                <w14:textFill>
                  <w14:solidFill>
                    <w14:schemeClr w14:val="tx1"/>
                  </w14:solidFill>
                </w14:textFill>
              </w:rPr>
              <w:t>单位应配合医院做好医用耗材及试剂的网采工作，做到实际使用的医用耗材与网采平台的采购计划、采购订单、入库等信息一致。</w:t>
            </w:r>
          </w:p>
        </w:tc>
      </w:tr>
      <w:tr w14:paraId="5FF27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34" w:hRule="atLeast"/>
          <w:jc w:val="center"/>
        </w:trPr>
        <w:tc>
          <w:tcPr>
            <w:tcW w:w="954" w:type="dxa"/>
            <w:vMerge w:val="continue"/>
            <w:noWrap/>
            <w:vAlign w:val="center"/>
          </w:tcPr>
          <w:p w14:paraId="7FA318C2">
            <w:pPr>
              <w:snapToGrid w:val="0"/>
              <w:spacing w:line="276" w:lineRule="auto"/>
              <w:jc w:val="center"/>
              <w:rPr>
                <w:rFonts w:hint="eastAsia" w:ascii="仿宋" w:hAnsi="仿宋" w:eastAsia="仿宋" w:cs="仿宋"/>
                <w:color w:val="000000" w:themeColor="text1"/>
                <w:highlight w:val="none"/>
                <w14:textFill>
                  <w14:solidFill>
                    <w14:schemeClr w14:val="tx1"/>
                  </w14:solidFill>
                </w14:textFill>
              </w:rPr>
            </w:pPr>
          </w:p>
        </w:tc>
        <w:tc>
          <w:tcPr>
            <w:tcW w:w="7607" w:type="dxa"/>
            <w:noWrap/>
            <w:vAlign w:val="center"/>
          </w:tcPr>
          <w:p w14:paraId="2A8F2484">
            <w:pPr>
              <w:snapToGrid w:val="0"/>
              <w:spacing w:line="276" w:lineRule="auto"/>
              <w:rPr>
                <w:rFonts w:hint="eastAsia" w:ascii="仿宋" w:hAnsi="仿宋" w:eastAsia="仿宋" w:cs="仿宋"/>
                <w:bCs w:val="0"/>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入围</w:t>
            </w:r>
            <w:r>
              <w:rPr>
                <w:rFonts w:hint="eastAsia" w:ascii="仿宋" w:hAnsi="仿宋" w:eastAsia="仿宋" w:cs="仿宋"/>
                <w:color w:val="000000" w:themeColor="text1"/>
                <w:highlight w:val="none"/>
                <w:lang w:val="en-US" w:eastAsia="zh-CN"/>
                <w14:textFill>
                  <w14:solidFill>
                    <w14:schemeClr w14:val="tx1"/>
                  </w14:solidFill>
                </w14:textFill>
              </w:rPr>
              <w:t>单位须</w:t>
            </w:r>
            <w:r>
              <w:rPr>
                <w:rFonts w:hint="eastAsia" w:ascii="仿宋" w:hAnsi="仿宋" w:eastAsia="仿宋" w:cs="仿宋"/>
                <w:color w:val="000000" w:themeColor="text1"/>
                <w:highlight w:val="none"/>
                <w14:textFill>
                  <w14:solidFill>
                    <w14:schemeClr w14:val="tx1"/>
                  </w14:solidFill>
                </w14:textFill>
              </w:rPr>
              <w:t>提供正本1份，副本</w:t>
            </w: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份</w:t>
            </w:r>
            <w:r>
              <w:rPr>
                <w:rFonts w:hint="eastAsia" w:ascii="仿宋" w:hAnsi="仿宋" w:eastAsia="仿宋" w:cs="仿宋"/>
                <w:color w:val="000000" w:themeColor="text1"/>
                <w:szCs w:val="21"/>
                <w:highlight w:val="none"/>
                <w14:textFill>
                  <w14:solidFill>
                    <w14:schemeClr w14:val="tx1"/>
                  </w14:solidFill>
                </w14:textFill>
              </w:rPr>
              <w:t>。</w:t>
            </w:r>
          </w:p>
        </w:tc>
      </w:tr>
    </w:tbl>
    <w:p w14:paraId="10E4D3DC">
      <w:pPr>
        <w:pStyle w:val="14"/>
        <w:rPr>
          <w:rFonts w:hint="eastAsia" w:ascii="仿宋" w:hAnsi="仿宋" w:eastAsia="仿宋" w:cs="仿宋"/>
          <w:color w:val="000000" w:themeColor="text1"/>
          <w:sz w:val="24"/>
          <w:szCs w:val="24"/>
          <w:highlight w:val="none"/>
          <w14:textFill>
            <w14:solidFill>
              <w14:schemeClr w14:val="tx1"/>
            </w14:solidFill>
          </w14:textFill>
        </w:rPr>
      </w:pPr>
    </w:p>
    <w:p w14:paraId="058DDBD0">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246BA351">
      <w:pPr>
        <w:pStyle w:val="3"/>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12" w:name="_Toc26024"/>
      <w:r>
        <w:rPr>
          <w:rFonts w:hint="eastAsia" w:ascii="仿宋" w:hAnsi="仿宋" w:eastAsia="仿宋" w:cs="仿宋"/>
          <w:color w:val="000000" w:themeColor="text1"/>
          <w:sz w:val="28"/>
          <w:szCs w:val="28"/>
          <w:highlight w:val="none"/>
          <w14:textFill>
            <w14:solidFill>
              <w14:schemeClr w14:val="tx1"/>
            </w14:solidFill>
          </w14:textFill>
        </w:rPr>
        <w:t>第二节 遴选须知</w:t>
      </w:r>
      <w:bookmarkEnd w:id="12"/>
    </w:p>
    <w:p w14:paraId="795B1CA7">
      <w:pPr>
        <w:snapToGrid w:val="0"/>
        <w:spacing w:line="360" w:lineRule="auto"/>
        <w:ind w:firstLine="42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一、说明</w:t>
      </w:r>
    </w:p>
    <w:p w14:paraId="181E791F">
      <w:pPr>
        <w:adjustRightInd/>
        <w:snapToGrid w:val="0"/>
        <w:spacing w:before="0" w:beforeLines="-2147483648" w:line="360" w:lineRule="auto"/>
        <w:ind w:firstLine="401" w:firstLineChars="19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w:t>
      </w:r>
      <w:r>
        <w:rPr>
          <w:rFonts w:hint="eastAsia" w:ascii="仿宋" w:hAnsi="仿宋" w:eastAsia="仿宋" w:cs="仿宋"/>
          <w:color w:val="000000" w:themeColor="text1"/>
          <w:szCs w:val="21"/>
          <w:highlight w:val="none"/>
          <w:lang w:val="en-US" w:eastAsia="zh-CN"/>
          <w14:textFill>
            <w14:solidFill>
              <w14:schemeClr w14:val="tx1"/>
            </w14:solidFill>
          </w14:textFill>
        </w:rPr>
        <w:t>遴选</w:t>
      </w:r>
      <w:r>
        <w:rPr>
          <w:rFonts w:hint="eastAsia" w:ascii="仿宋" w:hAnsi="仿宋" w:eastAsia="仿宋" w:cs="仿宋"/>
          <w:color w:val="000000" w:themeColor="text1"/>
          <w:szCs w:val="21"/>
          <w:highlight w:val="none"/>
          <w14:textFill>
            <w14:solidFill>
              <w14:schemeClr w14:val="tx1"/>
            </w14:solidFill>
          </w14:textFill>
        </w:rPr>
        <w:t>文件仅适用于本章第一节“</w:t>
      </w:r>
      <w:r>
        <w:rPr>
          <w:rFonts w:hint="eastAsia" w:ascii="仿宋" w:hAnsi="仿宋" w:eastAsia="仿宋" w:cs="仿宋"/>
          <w:color w:val="000000" w:themeColor="text1"/>
          <w:szCs w:val="21"/>
          <w:highlight w:val="none"/>
          <w:lang w:eastAsia="zh-CN"/>
          <w14:textFill>
            <w14:solidFill>
              <w14:schemeClr w14:val="tx1"/>
            </w14:solidFill>
          </w14:textFill>
        </w:rPr>
        <w:t xml:space="preserve"> 遴选须知前附表</w:t>
      </w:r>
      <w:r>
        <w:rPr>
          <w:rFonts w:hint="eastAsia" w:ascii="仿宋" w:hAnsi="仿宋" w:eastAsia="仿宋" w:cs="仿宋"/>
          <w:color w:val="000000" w:themeColor="text1"/>
          <w:szCs w:val="21"/>
          <w:highlight w:val="none"/>
          <w14:textFill>
            <w14:solidFill>
              <w14:schemeClr w14:val="tx1"/>
            </w14:solidFill>
          </w14:textFill>
        </w:rPr>
        <w:t>”（以下简称</w:t>
      </w:r>
      <w:r>
        <w:rPr>
          <w:rFonts w:hint="eastAsia" w:ascii="仿宋" w:hAnsi="仿宋" w:eastAsia="仿宋" w:cs="仿宋"/>
          <w:b w:val="0"/>
          <w:color w:val="000000" w:themeColor="text1"/>
          <w:szCs w:val="21"/>
          <w:highlight w:val="none"/>
          <w14:textFill>
            <w14:solidFill>
              <w14:schemeClr w14:val="tx1"/>
            </w14:solidFill>
          </w14:textFill>
        </w:rPr>
        <w:t>【</w:t>
      </w:r>
      <w:r>
        <w:rPr>
          <w:rFonts w:hint="eastAsia" w:ascii="仿宋" w:hAnsi="仿宋" w:eastAsia="仿宋" w:cs="仿宋"/>
          <w:b w:val="0"/>
          <w:color w:val="000000" w:themeColor="text1"/>
          <w:szCs w:val="21"/>
          <w:highlight w:val="none"/>
          <w:lang w:eastAsia="zh-CN"/>
          <w14:textFill>
            <w14:solidFill>
              <w14:schemeClr w14:val="tx1"/>
            </w14:solidFill>
          </w14:textFill>
        </w:rPr>
        <w:t xml:space="preserve"> 遴选须知前附表</w:t>
      </w:r>
      <w:r>
        <w:rPr>
          <w:rFonts w:hint="eastAsia" w:ascii="仿宋" w:hAnsi="仿宋" w:eastAsia="仿宋" w:cs="仿宋"/>
          <w:b w:val="0"/>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）中所叙述的</w:t>
      </w:r>
      <w:r>
        <w:rPr>
          <w:rFonts w:hint="eastAsia" w:ascii="仿宋" w:hAnsi="仿宋" w:eastAsia="仿宋" w:cs="仿宋"/>
          <w:color w:val="000000" w:themeColor="text1"/>
          <w:szCs w:val="21"/>
          <w:highlight w:val="none"/>
          <w:lang w:val="en-US" w:eastAsia="zh-CN"/>
          <w14:textFill>
            <w14:solidFill>
              <w14:schemeClr w14:val="tx1"/>
            </w14:solidFill>
          </w14:textFill>
        </w:rPr>
        <w:t>遴选</w:t>
      </w:r>
      <w:r>
        <w:rPr>
          <w:rFonts w:hint="eastAsia" w:ascii="仿宋" w:hAnsi="仿宋" w:eastAsia="仿宋" w:cs="仿宋"/>
          <w:color w:val="000000" w:themeColor="text1"/>
          <w:szCs w:val="21"/>
          <w:highlight w:val="none"/>
          <w14:textFill>
            <w14:solidFill>
              <w14:schemeClr w14:val="tx1"/>
            </w14:solidFill>
          </w14:textFill>
        </w:rPr>
        <w:t>项目。</w:t>
      </w:r>
    </w:p>
    <w:p w14:paraId="715F691B">
      <w:pPr>
        <w:snapToGrid w:val="0"/>
        <w:spacing w:line="360" w:lineRule="auto"/>
        <w:ind w:firstLine="403" w:firstLineChars="191"/>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 采购人、采购代理机构及合格的供应商</w:t>
      </w:r>
    </w:p>
    <w:p w14:paraId="12865270">
      <w:pPr>
        <w:snapToGrid w:val="0"/>
        <w:spacing w:line="360" w:lineRule="auto"/>
        <w:ind w:firstLine="401" w:firstLineChars="19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 采购人：采购人是指提出采购货物和服务的国家机关、企业、事业单位或其它组织。本</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中采购人见</w:t>
      </w:r>
      <w:r>
        <w:rPr>
          <w:rFonts w:hint="eastAsia" w:ascii="仿宋" w:hAnsi="仿宋" w:eastAsia="仿宋" w:cs="仿宋"/>
          <w:b/>
          <w:color w:val="000000" w:themeColor="text1"/>
          <w:highlight w:val="none"/>
          <w14:textFill>
            <w14:solidFill>
              <w14:schemeClr w14:val="tx1"/>
            </w14:solidFill>
          </w14:textFill>
        </w:rPr>
        <w:t>遴选须知前附表。</w:t>
      </w:r>
    </w:p>
    <w:p w14:paraId="54CF8618">
      <w:pPr>
        <w:snapToGrid w:val="0"/>
        <w:spacing w:line="360" w:lineRule="auto"/>
        <w:ind w:firstLine="401" w:firstLineChars="191"/>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2.2采购代理机构：采购代理机构是指依照国家有关部门的管理规定，依法设立并取得招标资格证书、从事招标或采购代理业务的中介组织。本</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中采购代理机构见</w:t>
      </w:r>
      <w:r>
        <w:rPr>
          <w:rFonts w:hint="eastAsia" w:ascii="仿宋" w:hAnsi="仿宋" w:eastAsia="仿宋" w:cs="仿宋"/>
          <w:b/>
          <w:color w:val="000000" w:themeColor="text1"/>
          <w:highlight w:val="none"/>
          <w14:textFill>
            <w14:solidFill>
              <w14:schemeClr w14:val="tx1"/>
            </w14:solidFill>
          </w14:textFill>
        </w:rPr>
        <w:t>遴选须知前附表。</w:t>
      </w:r>
    </w:p>
    <w:p w14:paraId="74FB5241">
      <w:pPr>
        <w:snapToGrid w:val="0"/>
        <w:spacing w:line="360" w:lineRule="auto"/>
        <w:ind w:firstLine="401" w:firstLineChars="19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 合格的供应商</w:t>
      </w:r>
    </w:p>
    <w:p w14:paraId="0BD1E90E">
      <w:pPr>
        <w:snapToGrid w:val="0"/>
        <w:spacing w:line="360" w:lineRule="auto"/>
        <w:ind w:firstLine="401" w:firstLineChars="19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（1）针对本项目的合格供应商要求见</w:t>
      </w:r>
      <w:r>
        <w:rPr>
          <w:rFonts w:hint="eastAsia" w:ascii="仿宋" w:hAnsi="仿宋" w:eastAsia="仿宋" w:cs="仿宋"/>
          <w:b/>
          <w:color w:val="000000" w:themeColor="text1"/>
          <w:highlight w:val="none"/>
          <w14:textFill>
            <w14:solidFill>
              <w14:schemeClr w14:val="tx1"/>
            </w14:solidFill>
          </w14:textFill>
        </w:rPr>
        <w:t>遴选须知前附表</w:t>
      </w:r>
      <w:r>
        <w:rPr>
          <w:rFonts w:hint="eastAsia" w:ascii="仿宋" w:hAnsi="仿宋" w:eastAsia="仿宋" w:cs="仿宋"/>
          <w:color w:val="000000" w:themeColor="text1"/>
          <w:highlight w:val="none"/>
          <w14:textFill>
            <w14:solidFill>
              <w14:schemeClr w14:val="tx1"/>
            </w14:solidFill>
          </w14:textFill>
        </w:rPr>
        <w:t>。</w:t>
      </w:r>
    </w:p>
    <w:p w14:paraId="3958E8AA">
      <w:pPr>
        <w:snapToGrid w:val="0"/>
        <w:spacing w:line="360" w:lineRule="auto"/>
        <w:ind w:firstLine="401" w:firstLineChars="19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（2）合格供应商还须满足下列情形：</w:t>
      </w:r>
    </w:p>
    <w:p w14:paraId="7977D61A">
      <w:pPr>
        <w:numPr>
          <w:ilvl w:val="1"/>
          <w:numId w:val="1"/>
        </w:numPr>
        <w:snapToGrid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供应商目前生产经营状态正常，没有被有权机关吊销营业执照、吊销生产经营许可、责令停业、暂停或取消申请资格、以及财产被接管或冻结情况。</w:t>
      </w:r>
    </w:p>
    <w:p w14:paraId="0906FF61">
      <w:pPr>
        <w:numPr>
          <w:ilvl w:val="1"/>
          <w:numId w:val="1"/>
        </w:numPr>
        <w:snapToGrid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供应商不得直接或间接地与采购人为采购本次货物和服务进行设计、编制规范和其他文件所委托的咨询公司或其附属机构有任何关联。</w:t>
      </w:r>
    </w:p>
    <w:p w14:paraId="72631974">
      <w:pPr>
        <w:numPr>
          <w:ilvl w:val="1"/>
          <w:numId w:val="1"/>
        </w:numPr>
        <w:snapToGrid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供应商必须向采购代理机构购买</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并登记备案，未向采购代理机构购买文件并登记备案的潜在供应商均无资格参加。</w:t>
      </w:r>
    </w:p>
    <w:p w14:paraId="5277C2A2">
      <w:pPr>
        <w:snapToGrid w:val="0"/>
        <w:spacing w:line="360" w:lineRule="auto"/>
        <w:ind w:left="51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 合格的货物和服务</w:t>
      </w:r>
    </w:p>
    <w:p w14:paraId="53DC1DB7">
      <w:pPr>
        <w:tabs>
          <w:tab w:val="left" w:pos="0"/>
          <w:tab w:val="left" w:pos="1080"/>
        </w:tabs>
        <w:snapToGrid w:val="0"/>
        <w:spacing w:line="360" w:lineRule="auto"/>
        <w:ind w:left="51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3.1货物系指供应商按</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规定，须向采购人提供的符合</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要求的相关的货物。</w:t>
      </w:r>
    </w:p>
    <w:p w14:paraId="0538AA4D">
      <w:pPr>
        <w:tabs>
          <w:tab w:val="left" w:pos="0"/>
          <w:tab w:val="left" w:pos="1080"/>
        </w:tabs>
        <w:snapToGrid w:val="0"/>
        <w:spacing w:line="360" w:lineRule="auto"/>
        <w:ind w:left="51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3.2服务系指</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的规定，供应商须承担的与所投货物有关的辅助服务,如采</w:t>
      </w:r>
    </w:p>
    <w:p w14:paraId="20B4FC46">
      <w:pPr>
        <w:tabs>
          <w:tab w:val="left" w:pos="0"/>
          <w:tab w:val="left" w:pos="1080"/>
        </w:tabs>
        <w:snapToGrid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购、仓储、运输、保险、技术培训、售后服务以及其他类似的义务。</w:t>
      </w:r>
    </w:p>
    <w:p w14:paraId="0577D66A">
      <w:pPr>
        <w:tabs>
          <w:tab w:val="left" w:pos="0"/>
          <w:tab w:val="left" w:pos="1080"/>
        </w:tabs>
        <w:snapToGrid w:val="0"/>
        <w:spacing w:line="360" w:lineRule="auto"/>
        <w:ind w:firstLine="42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 遴选费用</w:t>
      </w:r>
    </w:p>
    <w:p w14:paraId="01BE8BEB">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 供应商应承担所有与准备和参加入围遴选有关的费用。不论入围的结果如何，采购人和代理机构均无义务和责任承担这些费用。</w:t>
      </w:r>
    </w:p>
    <w:p w14:paraId="1B105065">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4.2入围供应商须向采购代理机构交纳代理服务费。</w:t>
      </w:r>
    </w:p>
    <w:p w14:paraId="3A9500AB">
      <w:pPr>
        <w:snapToGrid w:val="0"/>
        <w:spacing w:line="360" w:lineRule="auto"/>
        <w:ind w:firstLine="42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二、遴选文件</w:t>
      </w:r>
    </w:p>
    <w:p w14:paraId="2F92EDA4">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 遴选文件构成包括下列内容：</w:t>
      </w:r>
    </w:p>
    <w:p w14:paraId="40BBAAB3">
      <w:pPr>
        <w:pStyle w:val="25"/>
        <w:tabs>
          <w:tab w:val="right" w:leader="dot" w:pos="9638"/>
        </w:tabs>
        <w:spacing w:line="480" w:lineRule="auto"/>
        <w:ind w:firstLine="420" w:firstLineChars="20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val="0"/>
          <w:color w:val="000000" w:themeColor="text1"/>
          <w:sz w:val="21"/>
          <w:szCs w:val="21"/>
          <w:highlight w:val="none"/>
          <w14:textFill>
            <w14:solidFill>
              <w14:schemeClr w14:val="tx1"/>
            </w14:solidFill>
          </w14:textFill>
        </w:rPr>
        <w:fldChar w:fldCharType="begin"/>
      </w:r>
      <w:r>
        <w:rPr>
          <w:rFonts w:hint="eastAsia" w:ascii="仿宋" w:hAnsi="仿宋" w:eastAsia="仿宋" w:cs="仿宋"/>
          <w:bCs w:val="0"/>
          <w:color w:val="000000" w:themeColor="text1"/>
          <w:sz w:val="21"/>
          <w:szCs w:val="21"/>
          <w:highlight w:val="none"/>
          <w14:textFill>
            <w14:solidFill>
              <w14:schemeClr w14:val="tx1"/>
            </w14:solidFill>
          </w14:textFill>
        </w:rPr>
        <w:instrText xml:space="preserve"> HYPERLINK \l _Toc3641 </w:instrText>
      </w:r>
      <w:r>
        <w:rPr>
          <w:rFonts w:hint="eastAsia" w:ascii="仿宋" w:hAnsi="仿宋" w:eastAsia="仿宋" w:cs="仿宋"/>
          <w:bCs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bCs w:val="0"/>
          <w:color w:val="000000" w:themeColor="text1"/>
          <w:kern w:val="2"/>
          <w:sz w:val="21"/>
          <w:szCs w:val="21"/>
          <w:highlight w:val="none"/>
          <w14:textFill>
            <w14:solidFill>
              <w14:schemeClr w14:val="tx1"/>
            </w14:solidFill>
          </w14:textFill>
        </w:rPr>
        <w:t>第一章 遴选公告</w:t>
      </w:r>
      <w:r>
        <w:rPr>
          <w:rFonts w:hint="eastAsia" w:ascii="仿宋" w:hAnsi="仿宋" w:eastAsia="仿宋" w:cs="仿宋"/>
          <w:bCs w:val="0"/>
          <w:color w:val="000000" w:themeColor="text1"/>
          <w:sz w:val="21"/>
          <w:szCs w:val="21"/>
          <w:highlight w:val="none"/>
          <w14:textFill>
            <w14:solidFill>
              <w14:schemeClr w14:val="tx1"/>
            </w14:solidFill>
          </w14:textFill>
        </w:rPr>
        <w:fldChar w:fldCharType="end"/>
      </w:r>
    </w:p>
    <w:p w14:paraId="51E32454">
      <w:pPr>
        <w:pStyle w:val="25"/>
        <w:tabs>
          <w:tab w:val="right" w:leader="dot" w:pos="9638"/>
        </w:tabs>
        <w:spacing w:line="480" w:lineRule="auto"/>
        <w:ind w:firstLine="420" w:firstLineChars="20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val="0"/>
          <w:color w:val="000000" w:themeColor="text1"/>
          <w:sz w:val="21"/>
          <w:szCs w:val="21"/>
          <w:highlight w:val="none"/>
          <w14:textFill>
            <w14:solidFill>
              <w14:schemeClr w14:val="tx1"/>
            </w14:solidFill>
          </w14:textFill>
        </w:rPr>
        <w:fldChar w:fldCharType="begin"/>
      </w:r>
      <w:r>
        <w:rPr>
          <w:rFonts w:hint="eastAsia" w:ascii="仿宋" w:hAnsi="仿宋" w:eastAsia="仿宋" w:cs="仿宋"/>
          <w:bCs w:val="0"/>
          <w:color w:val="000000" w:themeColor="text1"/>
          <w:sz w:val="21"/>
          <w:szCs w:val="21"/>
          <w:highlight w:val="none"/>
          <w14:textFill>
            <w14:solidFill>
              <w14:schemeClr w14:val="tx1"/>
            </w14:solidFill>
          </w14:textFill>
        </w:rPr>
        <w:instrText xml:space="preserve"> HYPERLINK \l _Toc12472 </w:instrText>
      </w:r>
      <w:r>
        <w:rPr>
          <w:rFonts w:hint="eastAsia" w:ascii="仿宋" w:hAnsi="仿宋" w:eastAsia="仿宋" w:cs="仿宋"/>
          <w:bCs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color w:val="000000" w:themeColor="text1"/>
          <w:sz w:val="21"/>
          <w:szCs w:val="21"/>
          <w:highlight w:val="none"/>
          <w14:textFill>
            <w14:solidFill>
              <w14:schemeClr w14:val="tx1"/>
            </w14:solidFill>
          </w14:textFill>
        </w:rPr>
        <w:t>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二</w:t>
      </w:r>
      <w:r>
        <w:rPr>
          <w:rFonts w:hint="eastAsia" w:ascii="仿宋" w:hAnsi="仿宋" w:eastAsia="仿宋" w:cs="仿宋"/>
          <w:color w:val="000000" w:themeColor="text1"/>
          <w:sz w:val="21"/>
          <w:szCs w:val="21"/>
          <w:highlight w:val="none"/>
          <w14:textFill>
            <w14:solidFill>
              <w14:schemeClr w14:val="tx1"/>
            </w14:solidFill>
          </w14:textFill>
        </w:rPr>
        <w:t>章遴选须知</w:t>
      </w:r>
      <w:r>
        <w:rPr>
          <w:rFonts w:hint="eastAsia" w:ascii="仿宋" w:hAnsi="仿宋" w:eastAsia="仿宋" w:cs="仿宋"/>
          <w:bCs w:val="0"/>
          <w:color w:val="000000" w:themeColor="text1"/>
          <w:sz w:val="21"/>
          <w:szCs w:val="21"/>
          <w:highlight w:val="none"/>
          <w14:textFill>
            <w14:solidFill>
              <w14:schemeClr w14:val="tx1"/>
            </w14:solidFill>
          </w14:textFill>
        </w:rPr>
        <w:fldChar w:fldCharType="end"/>
      </w:r>
    </w:p>
    <w:p w14:paraId="1CDA218B">
      <w:pPr>
        <w:pStyle w:val="18"/>
        <w:tabs>
          <w:tab w:val="right" w:leader="dot" w:pos="9638"/>
        </w:tabs>
        <w:spacing w:line="480" w:lineRule="auto"/>
        <w:ind w:left="0" w:leftChars="0" w:firstLine="420" w:firstLineChars="20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val="0"/>
          <w:color w:val="000000" w:themeColor="text1"/>
          <w:sz w:val="21"/>
          <w:szCs w:val="21"/>
          <w:highlight w:val="none"/>
          <w14:textFill>
            <w14:solidFill>
              <w14:schemeClr w14:val="tx1"/>
            </w14:solidFill>
          </w14:textFill>
        </w:rPr>
        <w:fldChar w:fldCharType="begin"/>
      </w:r>
      <w:r>
        <w:rPr>
          <w:rFonts w:hint="eastAsia" w:ascii="仿宋" w:hAnsi="仿宋" w:eastAsia="仿宋" w:cs="仿宋"/>
          <w:bCs w:val="0"/>
          <w:color w:val="000000" w:themeColor="text1"/>
          <w:sz w:val="21"/>
          <w:szCs w:val="21"/>
          <w:highlight w:val="none"/>
          <w14:textFill>
            <w14:solidFill>
              <w14:schemeClr w14:val="tx1"/>
            </w14:solidFill>
          </w14:textFill>
        </w:rPr>
        <w:instrText xml:space="preserve"> HYPERLINK \l _Toc28674 </w:instrText>
      </w:r>
      <w:r>
        <w:rPr>
          <w:rFonts w:hint="eastAsia" w:ascii="仿宋" w:hAnsi="仿宋" w:eastAsia="仿宋" w:cs="仿宋"/>
          <w:bCs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color w:val="000000" w:themeColor="text1"/>
          <w:sz w:val="21"/>
          <w:szCs w:val="21"/>
          <w:highlight w:val="none"/>
          <w14:textFill>
            <w14:solidFill>
              <w14:schemeClr w14:val="tx1"/>
            </w14:solidFill>
          </w14:textFill>
        </w:rPr>
        <w:t>第三章 采购目录</w:t>
      </w:r>
      <w:r>
        <w:rPr>
          <w:rFonts w:hint="eastAsia" w:ascii="仿宋" w:hAnsi="仿宋" w:eastAsia="仿宋" w:cs="仿宋"/>
          <w:bCs w:val="0"/>
          <w:color w:val="000000" w:themeColor="text1"/>
          <w:sz w:val="21"/>
          <w:szCs w:val="21"/>
          <w:highlight w:val="none"/>
          <w14:textFill>
            <w14:solidFill>
              <w14:schemeClr w14:val="tx1"/>
            </w14:solidFill>
          </w14:textFill>
        </w:rPr>
        <w:fldChar w:fldCharType="end"/>
      </w:r>
    </w:p>
    <w:p w14:paraId="204D48C9">
      <w:pPr>
        <w:pStyle w:val="28"/>
        <w:tabs>
          <w:tab w:val="right" w:leader="dot" w:pos="9638"/>
        </w:tabs>
        <w:spacing w:line="480" w:lineRule="auto"/>
        <w:ind w:left="0" w:leftChars="0" w:firstLine="420" w:firstLineChars="20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val="0"/>
          <w:color w:val="000000" w:themeColor="text1"/>
          <w:sz w:val="21"/>
          <w:szCs w:val="21"/>
          <w:highlight w:val="none"/>
          <w14:textFill>
            <w14:solidFill>
              <w14:schemeClr w14:val="tx1"/>
            </w14:solidFill>
          </w14:textFill>
        </w:rPr>
        <w:fldChar w:fldCharType="begin"/>
      </w:r>
      <w:r>
        <w:rPr>
          <w:rFonts w:hint="eastAsia" w:ascii="仿宋" w:hAnsi="仿宋" w:eastAsia="仿宋" w:cs="仿宋"/>
          <w:bCs w:val="0"/>
          <w:color w:val="000000" w:themeColor="text1"/>
          <w:sz w:val="21"/>
          <w:szCs w:val="21"/>
          <w:highlight w:val="none"/>
          <w14:textFill>
            <w14:solidFill>
              <w14:schemeClr w14:val="tx1"/>
            </w14:solidFill>
          </w14:textFill>
        </w:rPr>
        <w:instrText xml:space="preserve"> HYPERLINK \l _Toc12817 </w:instrText>
      </w:r>
      <w:r>
        <w:rPr>
          <w:rFonts w:hint="eastAsia" w:ascii="仿宋" w:hAnsi="仿宋" w:eastAsia="仿宋" w:cs="仿宋"/>
          <w:bCs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color w:val="000000" w:themeColor="text1"/>
          <w:sz w:val="21"/>
          <w:szCs w:val="21"/>
          <w:highlight w:val="none"/>
          <w14:textFill>
            <w14:solidFill>
              <w14:schemeClr w14:val="tx1"/>
            </w14:solidFill>
          </w14:textFill>
        </w:rPr>
        <w:t>第</w:t>
      </w:r>
      <w:r>
        <w:rPr>
          <w:rFonts w:hint="eastAsia" w:ascii="仿宋" w:hAnsi="仿宋" w:eastAsia="仿宋" w:cs="仿宋"/>
          <w:color w:val="000000" w:themeColor="text1"/>
          <w:sz w:val="21"/>
          <w:szCs w:val="21"/>
          <w:highlight w:val="none"/>
          <w:lang w:val="en-US" w:eastAsia="zh-CN"/>
          <w14:textFill>
            <w14:solidFill>
              <w14:schemeClr w14:val="tx1"/>
            </w14:solidFill>
          </w14:textFill>
        </w:rPr>
        <w:t>四</w:t>
      </w:r>
      <w:r>
        <w:rPr>
          <w:rFonts w:hint="eastAsia" w:ascii="仿宋" w:hAnsi="仿宋" w:eastAsia="仿宋" w:cs="仿宋"/>
          <w:color w:val="000000" w:themeColor="text1"/>
          <w:sz w:val="21"/>
          <w:szCs w:val="21"/>
          <w:highlight w:val="none"/>
          <w14:textFill>
            <w14:solidFill>
              <w14:schemeClr w14:val="tx1"/>
            </w14:solidFill>
          </w14:textFill>
        </w:rPr>
        <w:t>章评标办法</w:t>
      </w:r>
      <w:r>
        <w:rPr>
          <w:rFonts w:hint="eastAsia" w:ascii="仿宋" w:hAnsi="仿宋" w:eastAsia="仿宋" w:cs="仿宋"/>
          <w:bCs w:val="0"/>
          <w:color w:val="000000" w:themeColor="text1"/>
          <w:sz w:val="21"/>
          <w:szCs w:val="21"/>
          <w:highlight w:val="none"/>
          <w14:textFill>
            <w14:solidFill>
              <w14:schemeClr w14:val="tx1"/>
            </w14:solidFill>
          </w14:textFill>
        </w:rPr>
        <w:fldChar w:fldCharType="end"/>
      </w:r>
    </w:p>
    <w:p w14:paraId="2408549A">
      <w:pPr>
        <w:pStyle w:val="28"/>
        <w:tabs>
          <w:tab w:val="right" w:leader="dot" w:pos="9638"/>
        </w:tabs>
        <w:spacing w:line="480" w:lineRule="auto"/>
        <w:ind w:left="0" w:leftChars="0" w:firstLine="420" w:firstLineChars="20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val="0"/>
          <w:color w:val="000000" w:themeColor="text1"/>
          <w:sz w:val="21"/>
          <w:szCs w:val="21"/>
          <w:highlight w:val="none"/>
          <w14:textFill>
            <w14:solidFill>
              <w14:schemeClr w14:val="tx1"/>
            </w14:solidFill>
          </w14:textFill>
        </w:rPr>
        <w:fldChar w:fldCharType="begin"/>
      </w:r>
      <w:r>
        <w:rPr>
          <w:rFonts w:hint="eastAsia" w:ascii="仿宋" w:hAnsi="仿宋" w:eastAsia="仿宋" w:cs="仿宋"/>
          <w:bCs w:val="0"/>
          <w:color w:val="000000" w:themeColor="text1"/>
          <w:sz w:val="21"/>
          <w:szCs w:val="21"/>
          <w:highlight w:val="none"/>
          <w14:textFill>
            <w14:solidFill>
              <w14:schemeClr w14:val="tx1"/>
            </w14:solidFill>
          </w14:textFill>
        </w:rPr>
        <w:instrText xml:space="preserve"> HYPERLINK \l _Toc20098 </w:instrText>
      </w:r>
      <w:r>
        <w:rPr>
          <w:rFonts w:hint="eastAsia" w:ascii="仿宋" w:hAnsi="仿宋" w:eastAsia="仿宋" w:cs="仿宋"/>
          <w:bCs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bCs w:val="0"/>
          <w:color w:val="000000" w:themeColor="text1"/>
          <w:sz w:val="21"/>
          <w:szCs w:val="21"/>
          <w:highlight w:val="none"/>
          <w14:textFill>
            <w14:solidFill>
              <w14:schemeClr w14:val="tx1"/>
            </w14:solidFill>
          </w14:textFill>
        </w:rPr>
        <w:t>第</w:t>
      </w:r>
      <w:r>
        <w:rPr>
          <w:rFonts w:hint="eastAsia" w:ascii="仿宋" w:hAnsi="仿宋" w:eastAsia="仿宋" w:cs="仿宋"/>
          <w:bCs w:val="0"/>
          <w:color w:val="000000" w:themeColor="text1"/>
          <w:sz w:val="21"/>
          <w:szCs w:val="21"/>
          <w:highlight w:val="none"/>
          <w:lang w:val="en-US" w:eastAsia="zh-CN"/>
          <w14:textFill>
            <w14:solidFill>
              <w14:schemeClr w14:val="tx1"/>
            </w14:solidFill>
          </w14:textFill>
        </w:rPr>
        <w:t>五</w:t>
      </w:r>
      <w:r>
        <w:rPr>
          <w:rFonts w:hint="eastAsia" w:ascii="仿宋" w:hAnsi="仿宋" w:eastAsia="仿宋" w:cs="仿宋"/>
          <w:bCs w:val="0"/>
          <w:color w:val="000000" w:themeColor="text1"/>
          <w:sz w:val="21"/>
          <w:szCs w:val="21"/>
          <w:highlight w:val="none"/>
          <w14:textFill>
            <w14:solidFill>
              <w14:schemeClr w14:val="tx1"/>
            </w14:solidFill>
          </w14:textFill>
        </w:rPr>
        <w:t>章采购合同</w:t>
      </w:r>
      <w:r>
        <w:rPr>
          <w:rFonts w:hint="eastAsia" w:ascii="仿宋" w:hAnsi="仿宋" w:eastAsia="仿宋" w:cs="仿宋"/>
          <w:bCs w:val="0"/>
          <w:color w:val="000000" w:themeColor="text1"/>
          <w:sz w:val="21"/>
          <w:szCs w:val="21"/>
          <w:highlight w:val="none"/>
          <w14:textFill>
            <w14:solidFill>
              <w14:schemeClr w14:val="tx1"/>
            </w14:solidFill>
          </w14:textFill>
        </w:rPr>
        <w:fldChar w:fldCharType="end"/>
      </w:r>
    </w:p>
    <w:p w14:paraId="5AD6D3DD">
      <w:pPr>
        <w:snapToGrid w:val="0"/>
        <w:spacing w:line="360" w:lineRule="auto"/>
        <w:ind w:left="420"/>
        <w:jc w:val="lef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Cs w:val="0"/>
          <w:color w:val="000000" w:themeColor="text1"/>
          <w:sz w:val="21"/>
          <w:szCs w:val="21"/>
          <w:highlight w:val="none"/>
          <w14:textFill>
            <w14:solidFill>
              <w14:schemeClr w14:val="tx1"/>
            </w14:solidFill>
          </w14:textFill>
        </w:rPr>
        <w:fldChar w:fldCharType="begin"/>
      </w:r>
      <w:r>
        <w:rPr>
          <w:rFonts w:hint="eastAsia" w:ascii="仿宋" w:hAnsi="仿宋" w:eastAsia="仿宋" w:cs="仿宋"/>
          <w:bCs w:val="0"/>
          <w:color w:val="000000" w:themeColor="text1"/>
          <w:sz w:val="21"/>
          <w:szCs w:val="21"/>
          <w:highlight w:val="none"/>
          <w14:textFill>
            <w14:solidFill>
              <w14:schemeClr w14:val="tx1"/>
            </w14:solidFill>
          </w14:textFill>
        </w:rPr>
        <w:instrText xml:space="preserve"> HYPERLINK \l _Toc9402 </w:instrText>
      </w:r>
      <w:r>
        <w:rPr>
          <w:rFonts w:hint="eastAsia" w:ascii="仿宋" w:hAnsi="仿宋" w:eastAsia="仿宋" w:cs="仿宋"/>
          <w:bCs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bCs w:val="0"/>
          <w:color w:val="000000" w:themeColor="text1"/>
          <w:kern w:val="2"/>
          <w:sz w:val="21"/>
          <w:szCs w:val="21"/>
          <w:highlight w:val="none"/>
          <w14:textFill>
            <w14:solidFill>
              <w14:schemeClr w14:val="tx1"/>
            </w14:solidFill>
          </w14:textFill>
        </w:rPr>
        <w:t>第</w:t>
      </w:r>
      <w:r>
        <w:rPr>
          <w:rFonts w:hint="eastAsia" w:ascii="仿宋" w:hAnsi="仿宋" w:eastAsia="仿宋" w:cs="仿宋"/>
          <w:bCs w:val="0"/>
          <w:color w:val="000000" w:themeColor="text1"/>
          <w:kern w:val="2"/>
          <w:sz w:val="21"/>
          <w:szCs w:val="21"/>
          <w:highlight w:val="none"/>
          <w:lang w:val="en-US" w:eastAsia="zh-CN"/>
          <w14:textFill>
            <w14:solidFill>
              <w14:schemeClr w14:val="tx1"/>
            </w14:solidFill>
          </w14:textFill>
        </w:rPr>
        <w:t>六</w:t>
      </w:r>
      <w:r>
        <w:rPr>
          <w:rFonts w:hint="eastAsia" w:ascii="仿宋" w:hAnsi="仿宋" w:eastAsia="仿宋" w:cs="仿宋"/>
          <w:bCs w:val="0"/>
          <w:color w:val="000000" w:themeColor="text1"/>
          <w:kern w:val="2"/>
          <w:sz w:val="21"/>
          <w:szCs w:val="21"/>
          <w:highlight w:val="none"/>
          <w14:textFill>
            <w14:solidFill>
              <w14:schemeClr w14:val="tx1"/>
            </w14:solidFill>
          </w14:textFill>
        </w:rPr>
        <w:t>章 响应文件格式</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bCs w:val="0"/>
          <w:color w:val="000000" w:themeColor="text1"/>
          <w:sz w:val="21"/>
          <w:szCs w:val="21"/>
          <w:highlight w:val="none"/>
          <w14:textFill>
            <w14:solidFill>
              <w14:schemeClr w14:val="tx1"/>
            </w14:solidFill>
          </w14:textFill>
        </w:rPr>
        <w:fldChar w:fldCharType="end"/>
      </w:r>
      <w:r>
        <w:rPr>
          <w:rFonts w:hint="eastAsia" w:ascii="仿宋" w:hAnsi="仿宋" w:eastAsia="仿宋" w:cs="仿宋"/>
          <w:bCs/>
          <w:color w:val="000000" w:themeColor="text1"/>
          <w:sz w:val="24"/>
          <w:szCs w:val="24"/>
          <w:highlight w:val="none"/>
          <w14:textFill>
            <w14:solidFill>
              <w14:schemeClr w14:val="tx1"/>
            </w14:solidFill>
          </w14:textFill>
        </w:rPr>
        <w:br w:type="textWrapping"/>
      </w:r>
      <w:r>
        <w:rPr>
          <w:rFonts w:hint="eastAsia" w:ascii="仿宋" w:hAnsi="仿宋" w:eastAsia="仿宋" w:cs="仿宋"/>
          <w:b/>
          <w:color w:val="000000" w:themeColor="text1"/>
          <w:highlight w:val="none"/>
          <w14:textFill>
            <w14:solidFill>
              <w14:schemeClr w14:val="tx1"/>
            </w14:solidFill>
          </w14:textFill>
        </w:rPr>
        <w:t xml:space="preserve">6. </w:t>
      </w:r>
      <w:r>
        <w:rPr>
          <w:rFonts w:hint="eastAsia" w:ascii="仿宋" w:hAnsi="仿宋" w:eastAsia="仿宋" w:cs="仿宋"/>
          <w:b/>
          <w:color w:val="000000" w:themeColor="text1"/>
          <w:highlight w:val="none"/>
          <w:lang w:eastAsia="zh-CN"/>
          <w14:textFill>
            <w14:solidFill>
              <w14:schemeClr w14:val="tx1"/>
            </w14:solidFill>
          </w14:textFill>
        </w:rPr>
        <w:t>遴选文件</w:t>
      </w:r>
      <w:r>
        <w:rPr>
          <w:rFonts w:hint="eastAsia" w:ascii="仿宋" w:hAnsi="仿宋" w:eastAsia="仿宋" w:cs="仿宋"/>
          <w:b/>
          <w:color w:val="000000" w:themeColor="text1"/>
          <w:highlight w:val="none"/>
          <w14:textFill>
            <w14:solidFill>
              <w14:schemeClr w14:val="tx1"/>
            </w14:solidFill>
          </w14:textFill>
        </w:rPr>
        <w:t>的澄清或修改</w:t>
      </w:r>
    </w:p>
    <w:p w14:paraId="64D12FFE">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 供应商对</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如有疑问要求澄清，应当在</w:t>
      </w:r>
      <w:r>
        <w:rPr>
          <w:rFonts w:hint="eastAsia" w:ascii="仿宋" w:hAnsi="仿宋" w:eastAsia="仿宋" w:cs="仿宋"/>
          <w:b/>
          <w:color w:val="000000" w:themeColor="text1"/>
          <w:highlight w:val="none"/>
          <w14:textFill>
            <w14:solidFill>
              <w14:schemeClr w14:val="tx1"/>
            </w14:solidFill>
          </w14:textFill>
        </w:rPr>
        <w:t>遴选须知前附表</w:t>
      </w:r>
      <w:r>
        <w:rPr>
          <w:rFonts w:hint="eastAsia" w:ascii="仿宋" w:hAnsi="仿宋" w:eastAsia="仿宋" w:cs="仿宋"/>
          <w:color w:val="000000" w:themeColor="text1"/>
          <w:highlight w:val="none"/>
          <w14:textFill>
            <w14:solidFill>
              <w14:schemeClr w14:val="tx1"/>
            </w14:solidFill>
          </w14:textFill>
        </w:rPr>
        <w:t>规定的时间前向采购代理机构提出（逾期提交视为供应商认可并接受</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全部内容，采购代理机构将不予受理）。</w:t>
      </w:r>
    </w:p>
    <w:p w14:paraId="4537AF18">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6.2 采购代理机构对已发出的遴选文件进行必要澄清或者修改的，应当以书面形式通知所有遴选文件收受人，并在中国招标投标公告服务平台、鑫卫网</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浏阳市人民医院官网</w:t>
      </w:r>
      <w:r>
        <w:rPr>
          <w:rFonts w:hint="eastAsia" w:ascii="仿宋" w:hAnsi="仿宋" w:eastAsia="仿宋" w:cs="仿宋"/>
          <w:color w:val="000000" w:themeColor="text1"/>
          <w:highlight w:val="none"/>
          <w14:textFill>
            <w14:solidFill>
              <w14:schemeClr w14:val="tx1"/>
            </w14:solidFill>
          </w14:textFill>
        </w:rPr>
        <w:t>上发布更正公告。</w:t>
      </w:r>
    </w:p>
    <w:p w14:paraId="4725342B">
      <w:pPr>
        <w:snapToGrid w:val="0"/>
        <w:spacing w:line="360" w:lineRule="auto"/>
        <w:ind w:left="42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 偏离与实质性响应</w:t>
      </w:r>
    </w:p>
    <w:p w14:paraId="230B621F">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7.1供应商应当按照遴选文件的要求编制</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应当对遴选文件提出的要求和条件作出明确响应。</w:t>
      </w:r>
    </w:p>
    <w:p w14:paraId="6AE87767">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7.2偏离是指</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不响应或者不满足遴选文件提出的要求和条件，分为实质性偏离和非实质性偏离。</w:t>
      </w:r>
    </w:p>
    <w:p w14:paraId="19A29F58">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7.3除法律、法规和遴选文件规定的其他申请无效情形外，遴选文件中用“★”符号标明的条款为实质性要求和条件，对其中任何一条的偏离，为实质性偏离，</w:t>
      </w:r>
      <w:r>
        <w:rPr>
          <w:rFonts w:hint="eastAsia" w:ascii="仿宋" w:hAnsi="仿宋" w:eastAsia="仿宋" w:cs="仿宋"/>
          <w:b/>
          <w:bCs/>
          <w:color w:val="000000" w:themeColor="text1"/>
          <w:highlight w:val="none"/>
          <w14:textFill>
            <w14:solidFill>
              <w14:schemeClr w14:val="tx1"/>
            </w14:solidFill>
          </w14:textFill>
        </w:rPr>
        <w:t>其响应无效。</w:t>
      </w:r>
    </w:p>
    <w:p w14:paraId="5B179CD1">
      <w:pPr>
        <w:snapToGrid w:val="0"/>
        <w:spacing w:line="360" w:lineRule="auto"/>
        <w:ind w:firstLine="422"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三、</w:t>
      </w:r>
      <w:r>
        <w:rPr>
          <w:rFonts w:hint="eastAsia" w:ascii="仿宋" w:hAnsi="仿宋" w:eastAsia="仿宋" w:cs="仿宋"/>
          <w:b/>
          <w:bCs/>
          <w:color w:val="000000" w:themeColor="text1"/>
          <w:highlight w:val="none"/>
          <w:lang w:eastAsia="zh-CN"/>
          <w14:textFill>
            <w14:solidFill>
              <w14:schemeClr w14:val="tx1"/>
            </w14:solidFill>
          </w14:textFill>
        </w:rPr>
        <w:t>响应文件</w:t>
      </w:r>
      <w:r>
        <w:rPr>
          <w:rFonts w:hint="eastAsia" w:ascii="仿宋" w:hAnsi="仿宋" w:eastAsia="仿宋" w:cs="仿宋"/>
          <w:b/>
          <w:bCs/>
          <w:color w:val="000000" w:themeColor="text1"/>
          <w:highlight w:val="none"/>
          <w14:textFill>
            <w14:solidFill>
              <w14:schemeClr w14:val="tx1"/>
            </w14:solidFill>
          </w14:textFill>
        </w:rPr>
        <w:t>的编制</w:t>
      </w:r>
    </w:p>
    <w:p w14:paraId="7066245E">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8. 编制要求</w:t>
      </w:r>
    </w:p>
    <w:p w14:paraId="14285F26">
      <w:pPr>
        <w:snapToGrid w:val="0"/>
        <w:spacing w:line="360" w:lineRule="auto"/>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8.1供应商应认真阅读</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的所有内容，按</w:t>
      </w:r>
      <w:r>
        <w:rPr>
          <w:rFonts w:hint="eastAsia" w:ascii="仿宋" w:hAnsi="仿宋" w:eastAsia="仿宋" w:cs="仿宋"/>
          <w:color w:val="000000" w:themeColor="text1"/>
          <w:highlight w:val="none"/>
          <w:lang w:eastAsia="zh-CN"/>
          <w14:textFill>
            <w14:solidFill>
              <w14:schemeClr w14:val="tx1"/>
            </w14:solidFill>
          </w14:textFill>
        </w:rPr>
        <w:t>遴选文件</w:t>
      </w:r>
      <w:r>
        <w:rPr>
          <w:rFonts w:hint="eastAsia" w:ascii="仿宋" w:hAnsi="仿宋" w:eastAsia="仿宋" w:cs="仿宋"/>
          <w:color w:val="000000" w:themeColor="text1"/>
          <w:highlight w:val="none"/>
          <w14:textFill>
            <w14:solidFill>
              <w14:schemeClr w14:val="tx1"/>
            </w14:solidFill>
          </w14:textFill>
        </w:rPr>
        <w:t>的要求提供</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，并保证提供全部资料的真实性，以使其申请对入围遴选作出实质性响应，否则，其申请将被否决。</w:t>
      </w:r>
    </w:p>
    <w:p w14:paraId="1D1A742B">
      <w:pPr>
        <w:snapToGrid w:val="0"/>
        <w:spacing w:line="360" w:lineRule="auto"/>
        <w:ind w:firstLine="420"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8.2供应商提交的</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，以及供应商与采购代理机构就有关入围申请的所有来往函电均应以中文书写，</w:t>
      </w:r>
      <w:r>
        <w:rPr>
          <w:rFonts w:hint="eastAsia" w:ascii="仿宋" w:hAnsi="仿宋" w:eastAsia="仿宋" w:cs="仿宋"/>
          <w:b/>
          <w:color w:val="000000" w:themeColor="text1"/>
          <w:highlight w:val="none"/>
          <w14:textFill>
            <w14:solidFill>
              <w14:schemeClr w14:val="tx1"/>
            </w14:solidFill>
          </w14:textFill>
        </w:rPr>
        <w:t>如有外文的须同时提供中文译本。</w:t>
      </w:r>
    </w:p>
    <w:p w14:paraId="1710CD53">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8.3在“</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格式”中要求盖单位章和（或）签字处，供应商应加盖遴供应商单位印章和（或）法定代表人的个人印章/签字。</w:t>
      </w:r>
    </w:p>
    <w:p w14:paraId="4C535F80">
      <w:pPr>
        <w:snapToGrid w:val="0"/>
        <w:spacing w:line="360" w:lineRule="auto"/>
        <w:ind w:firstLine="413" w:firstLineChars="196"/>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9. </w:t>
      </w:r>
      <w:r>
        <w:rPr>
          <w:rFonts w:hint="eastAsia" w:ascii="仿宋" w:hAnsi="仿宋" w:eastAsia="仿宋" w:cs="仿宋"/>
          <w:b/>
          <w:color w:val="000000" w:themeColor="text1"/>
          <w:highlight w:val="none"/>
          <w:lang w:eastAsia="zh-CN"/>
          <w14:textFill>
            <w14:solidFill>
              <w14:schemeClr w14:val="tx1"/>
            </w14:solidFill>
          </w14:textFill>
        </w:rPr>
        <w:t>响应文件</w:t>
      </w:r>
      <w:r>
        <w:rPr>
          <w:rFonts w:hint="eastAsia" w:ascii="仿宋" w:hAnsi="仿宋" w:eastAsia="仿宋" w:cs="仿宋"/>
          <w:b/>
          <w:color w:val="000000" w:themeColor="text1"/>
          <w:highlight w:val="none"/>
          <w14:textFill>
            <w14:solidFill>
              <w14:schemeClr w14:val="tx1"/>
            </w14:solidFill>
          </w14:textFill>
        </w:rPr>
        <w:t>的构成：详见第六章“</w:t>
      </w:r>
      <w:r>
        <w:rPr>
          <w:rFonts w:hint="eastAsia" w:ascii="仿宋" w:hAnsi="仿宋" w:eastAsia="仿宋" w:cs="仿宋"/>
          <w:b/>
          <w:color w:val="000000" w:themeColor="text1"/>
          <w:highlight w:val="none"/>
          <w:lang w:eastAsia="zh-CN"/>
          <w14:textFill>
            <w14:solidFill>
              <w14:schemeClr w14:val="tx1"/>
            </w14:solidFill>
          </w14:textFill>
        </w:rPr>
        <w:t>响应文件</w:t>
      </w:r>
      <w:r>
        <w:rPr>
          <w:rFonts w:hint="eastAsia" w:ascii="仿宋" w:hAnsi="仿宋" w:eastAsia="仿宋" w:cs="仿宋"/>
          <w:b/>
          <w:color w:val="000000" w:themeColor="text1"/>
          <w:highlight w:val="none"/>
          <w14:textFill>
            <w14:solidFill>
              <w14:schemeClr w14:val="tx1"/>
            </w14:solidFill>
          </w14:textFill>
        </w:rPr>
        <w:t>格式”。</w:t>
      </w:r>
    </w:p>
    <w:p w14:paraId="76916FA5">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10. 产品报价及报价方式</w:t>
      </w:r>
    </w:p>
    <w:p w14:paraId="085583EC">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10.1 产品价格包含的内容见</w:t>
      </w:r>
      <w:r>
        <w:rPr>
          <w:rFonts w:hint="eastAsia" w:ascii="仿宋" w:hAnsi="仿宋" w:eastAsia="仿宋" w:cs="仿宋"/>
          <w:b/>
          <w:color w:val="000000" w:themeColor="text1"/>
          <w:highlight w:val="none"/>
          <w14:textFill>
            <w14:solidFill>
              <w14:schemeClr w14:val="tx1"/>
            </w14:solidFill>
          </w14:textFill>
        </w:rPr>
        <w:t>遴选须知前附表</w:t>
      </w:r>
      <w:r>
        <w:rPr>
          <w:rFonts w:hint="eastAsia" w:ascii="仿宋" w:hAnsi="仿宋" w:eastAsia="仿宋" w:cs="仿宋"/>
          <w:color w:val="000000" w:themeColor="text1"/>
          <w:highlight w:val="none"/>
          <w14:textFill>
            <w14:solidFill>
              <w14:schemeClr w14:val="tx1"/>
            </w14:solidFill>
          </w14:textFill>
        </w:rPr>
        <w:t>。</w:t>
      </w:r>
    </w:p>
    <w:p w14:paraId="7BE6E8DF">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10.2 最高限价见</w:t>
      </w:r>
      <w:r>
        <w:rPr>
          <w:rFonts w:hint="eastAsia" w:ascii="仿宋" w:hAnsi="仿宋" w:eastAsia="仿宋" w:cs="仿宋"/>
          <w:b/>
          <w:bCs/>
          <w:color w:val="000000" w:themeColor="text1"/>
          <w:highlight w:val="none"/>
          <w14:textFill>
            <w14:solidFill>
              <w14:schemeClr w14:val="tx1"/>
            </w14:solidFill>
          </w14:textFill>
        </w:rPr>
        <w:t xml:space="preserve">第三章 </w:t>
      </w:r>
      <w:r>
        <w:rPr>
          <w:rFonts w:hint="eastAsia" w:ascii="仿宋" w:hAnsi="仿宋" w:eastAsia="仿宋" w:cs="仿宋"/>
          <w:b/>
          <w:color w:val="000000" w:themeColor="text1"/>
          <w:highlight w:val="none"/>
          <w14:textFill>
            <w14:solidFill>
              <w14:schemeClr w14:val="tx1"/>
            </w14:solidFill>
          </w14:textFill>
        </w:rPr>
        <w:t>采购目录</w:t>
      </w:r>
      <w:r>
        <w:rPr>
          <w:rFonts w:hint="eastAsia" w:ascii="仿宋" w:hAnsi="仿宋" w:eastAsia="仿宋" w:cs="仿宋"/>
          <w:color w:val="000000" w:themeColor="text1"/>
          <w:highlight w:val="none"/>
          <w14:textFill>
            <w14:solidFill>
              <w14:schemeClr w14:val="tx1"/>
            </w14:solidFill>
          </w14:textFill>
        </w:rPr>
        <w:t>。不得超过采购</w:t>
      </w:r>
      <w:r>
        <w:rPr>
          <w:rFonts w:hint="eastAsia" w:ascii="仿宋" w:hAnsi="仿宋" w:eastAsia="仿宋" w:cs="仿宋"/>
          <w:color w:val="000000" w:themeColor="text1"/>
          <w:highlight w:val="none"/>
          <w:lang w:eastAsia="zh-CN"/>
          <w14:textFill>
            <w14:solidFill>
              <w14:schemeClr w14:val="tx1"/>
            </w14:solidFill>
          </w14:textFill>
        </w:rPr>
        <w:t>包号</w:t>
      </w:r>
      <w:r>
        <w:rPr>
          <w:rFonts w:hint="eastAsia" w:ascii="仿宋" w:hAnsi="仿宋" w:eastAsia="仿宋" w:cs="仿宋"/>
          <w:color w:val="000000" w:themeColor="text1"/>
          <w:highlight w:val="none"/>
          <w14:textFill>
            <w14:solidFill>
              <w14:schemeClr w14:val="tx1"/>
            </w14:solidFill>
          </w14:textFill>
        </w:rPr>
        <w:t>中的最高限价，否则，其申请将被否决。</w:t>
      </w:r>
    </w:p>
    <w:p w14:paraId="6D5E71BB">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11.证明供应商合格和资格的文件 </w:t>
      </w:r>
      <w:r>
        <w:rPr>
          <w:rFonts w:hint="eastAsia" w:ascii="仿宋" w:hAnsi="仿宋" w:eastAsia="仿宋" w:cs="仿宋"/>
          <w:b/>
          <w:color w:val="000000" w:themeColor="text1"/>
          <w:highlight w:val="none"/>
          <w14:textFill>
            <w14:solidFill>
              <w14:schemeClr w14:val="tx1"/>
            </w14:solidFill>
          </w14:textFill>
        </w:rPr>
        <w:tab/>
      </w:r>
    </w:p>
    <w:p w14:paraId="431FABBD">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供应商应提交证明其有资格参加遴选和入围后有能力履行合同的文件，并作为其</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的一部分，须符合本须知第2.3条的规定。</w:t>
      </w:r>
    </w:p>
    <w:p w14:paraId="1560D7C0">
      <w:pPr>
        <w:snapToGrid w:val="0"/>
        <w:spacing w:line="360" w:lineRule="auto"/>
        <w:ind w:firstLine="422" w:firstLineChars="200"/>
        <w:rPr>
          <w:rFonts w:hint="eastAsia"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12. </w:t>
      </w:r>
      <w:r>
        <w:rPr>
          <w:rFonts w:hint="eastAsia" w:ascii="仿宋" w:hAnsi="仿宋" w:eastAsia="仿宋" w:cs="仿宋"/>
          <w:b/>
          <w:color w:val="000000" w:themeColor="text1"/>
          <w:highlight w:val="none"/>
          <w:lang w:eastAsia="zh-CN"/>
          <w14:textFill>
            <w14:solidFill>
              <w14:schemeClr w14:val="tx1"/>
            </w14:solidFill>
          </w14:textFill>
        </w:rPr>
        <w:t>遴选保证金（</w:t>
      </w:r>
      <w:r>
        <w:rPr>
          <w:rFonts w:hint="eastAsia" w:ascii="仿宋" w:hAnsi="仿宋" w:eastAsia="仿宋" w:cs="仿宋"/>
          <w:b/>
          <w:color w:val="000000" w:themeColor="text1"/>
          <w:highlight w:val="none"/>
          <w:lang w:val="en-US" w:eastAsia="zh-CN"/>
          <w14:textFill>
            <w14:solidFill>
              <w14:schemeClr w14:val="tx1"/>
            </w14:solidFill>
          </w14:textFill>
        </w:rPr>
        <w:t>如适用</w:t>
      </w:r>
      <w:r>
        <w:rPr>
          <w:rFonts w:hint="eastAsia" w:ascii="仿宋" w:hAnsi="仿宋" w:eastAsia="仿宋" w:cs="仿宋"/>
          <w:b/>
          <w:color w:val="000000" w:themeColor="text1"/>
          <w:highlight w:val="none"/>
          <w:lang w:eastAsia="zh-CN"/>
          <w14:textFill>
            <w14:solidFill>
              <w14:schemeClr w14:val="tx1"/>
            </w14:solidFill>
          </w14:textFill>
        </w:rPr>
        <w:t>）</w:t>
      </w:r>
    </w:p>
    <w:p w14:paraId="6D7C6D3C">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12.1供应商应按所投</w:t>
      </w:r>
      <w:r>
        <w:rPr>
          <w:rFonts w:hint="eastAsia" w:ascii="仿宋" w:hAnsi="仿宋" w:eastAsia="仿宋" w:cs="仿宋"/>
          <w:color w:val="000000" w:themeColor="text1"/>
          <w:highlight w:val="none"/>
          <w:lang w:val="en-US" w:eastAsia="zh-CN"/>
          <w14:textFill>
            <w14:solidFill>
              <w14:schemeClr w14:val="tx1"/>
            </w14:solidFill>
          </w14:textFill>
        </w:rPr>
        <w:t>包号</w:t>
      </w:r>
      <w:r>
        <w:rPr>
          <w:rFonts w:hint="eastAsia" w:ascii="仿宋" w:hAnsi="仿宋" w:eastAsia="仿宋" w:cs="仿宋"/>
          <w:color w:val="000000" w:themeColor="text1"/>
          <w:highlight w:val="none"/>
          <w14:textFill>
            <w14:solidFill>
              <w14:schemeClr w14:val="tx1"/>
            </w14:solidFill>
          </w14:textFill>
        </w:rPr>
        <w:t>足额缴纳</w:t>
      </w:r>
      <w:r>
        <w:rPr>
          <w:rFonts w:hint="eastAsia" w:ascii="仿宋" w:hAnsi="仿宋" w:eastAsia="仿宋" w:cs="仿宋"/>
          <w:color w:val="000000" w:themeColor="text1"/>
          <w:highlight w:val="none"/>
          <w:lang w:eastAsia="zh-CN"/>
          <w14:textFill>
            <w14:solidFill>
              <w14:schemeClr w14:val="tx1"/>
            </w14:solidFill>
          </w14:textFill>
        </w:rPr>
        <w:t>遴选保证金</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b/>
          <w:bCs/>
          <w:color w:val="000000" w:themeColor="text1"/>
          <w:highlight w:val="none"/>
          <w14:textFill>
            <w14:solidFill>
              <w14:schemeClr w14:val="tx1"/>
            </w14:solidFill>
          </w14:textFill>
        </w:rPr>
        <w:t>详见第三章采购目录</w:t>
      </w:r>
      <w:r>
        <w:rPr>
          <w:rFonts w:hint="eastAsia" w:ascii="仿宋" w:hAnsi="仿宋" w:eastAsia="仿宋" w:cs="仿宋"/>
          <w:color w:val="000000" w:themeColor="text1"/>
          <w:highlight w:val="none"/>
          <w14:textFill>
            <w14:solidFill>
              <w14:schemeClr w14:val="tx1"/>
            </w14:solidFill>
          </w14:textFill>
        </w:rPr>
        <w:t>，此保证金是</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 xml:space="preserve">的一个组成部分，用于保护采购人、代理机构及其他供应商因此供应商行为不当而造成的损失。 </w:t>
      </w:r>
    </w:p>
    <w:p w14:paraId="761606D1">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12.2 保证金的提交方式见</w:t>
      </w:r>
      <w:r>
        <w:rPr>
          <w:rFonts w:hint="eastAsia" w:ascii="仿宋" w:hAnsi="仿宋" w:eastAsia="仿宋" w:cs="仿宋"/>
          <w:b/>
          <w:color w:val="000000" w:themeColor="text1"/>
          <w:highlight w:val="none"/>
          <w14:textFill>
            <w14:solidFill>
              <w14:schemeClr w14:val="tx1"/>
            </w14:solidFill>
          </w14:textFill>
        </w:rPr>
        <w:t>遴选须知前附表。</w:t>
      </w:r>
    </w:p>
    <w:p w14:paraId="4CD010B3">
      <w:pPr>
        <w:snapToGrid w:val="0"/>
        <w:spacing w:line="360" w:lineRule="auto"/>
        <w:ind w:firstLine="417" w:firstLineChars="19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12.3 供应商在进行报价前应保证代理机构可收到其保证金，未按12.1-12.2条提交保证金的申请将被否决。</w:t>
      </w:r>
    </w:p>
    <w:p w14:paraId="04A82C36">
      <w:pPr>
        <w:snapToGrid w:val="0"/>
        <w:spacing w:line="360" w:lineRule="auto"/>
        <w:ind w:firstLine="417" w:firstLineChars="19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12.4 未入围供应商的保证金，将在入围通知书发出后5个工作日内退还。</w:t>
      </w:r>
    </w:p>
    <w:p w14:paraId="56680B1A">
      <w:pPr>
        <w:snapToGrid w:val="0"/>
        <w:spacing w:line="360" w:lineRule="auto"/>
        <w:ind w:firstLine="417" w:firstLineChars="19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12.5入围供应商的保证金，在其与采购人签订协议并交纳代理服务费后5个工作日内予以退还。</w:t>
      </w:r>
    </w:p>
    <w:p w14:paraId="532D9B8F">
      <w:pPr>
        <w:snapToGrid w:val="0"/>
        <w:spacing w:line="360" w:lineRule="auto"/>
        <w:ind w:firstLine="417" w:firstLineChars="19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12.6 如供应商发生下列情况之一时，其保证金将不予退还：</w:t>
      </w:r>
    </w:p>
    <w:p w14:paraId="11CF60F5">
      <w:pPr>
        <w:snapToGrid w:val="0"/>
        <w:spacing w:line="360" w:lineRule="auto"/>
        <w:ind w:firstLine="417" w:firstLineChars="19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12.6.1 供应商在有效期内撤回其</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w:t>
      </w:r>
    </w:p>
    <w:p w14:paraId="0E7F1371">
      <w:pPr>
        <w:snapToGrid w:val="0"/>
        <w:spacing w:line="360" w:lineRule="auto"/>
        <w:ind w:firstLine="417" w:firstLineChars="19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12.6.2 入围供应商无正当理由不在规定时间内与采购人签署合同协议；</w:t>
      </w:r>
    </w:p>
    <w:p w14:paraId="4CD9AA3E">
      <w:pPr>
        <w:snapToGrid w:val="0"/>
        <w:spacing w:line="360" w:lineRule="auto"/>
        <w:ind w:firstLine="417" w:firstLineChars="19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12.6.3 供应商在入围遴选过程中以任何方式进行串通或其他违规违纪行为导致入围遴选无法顺利进行。</w:t>
      </w:r>
    </w:p>
    <w:p w14:paraId="59D59B6D">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13. 入围遴选有效期</w:t>
      </w:r>
    </w:p>
    <w:p w14:paraId="120BF79D">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入围遴选有效期见</w:t>
      </w:r>
      <w:r>
        <w:rPr>
          <w:rFonts w:hint="eastAsia" w:ascii="仿宋" w:hAnsi="仿宋" w:eastAsia="仿宋" w:cs="仿宋"/>
          <w:b/>
          <w:color w:val="000000" w:themeColor="text1"/>
          <w:highlight w:val="none"/>
          <w14:textFill>
            <w14:solidFill>
              <w14:schemeClr w14:val="tx1"/>
            </w14:solidFill>
          </w14:textFill>
        </w:rPr>
        <w:t>遴选须知前附表，</w:t>
      </w:r>
      <w:r>
        <w:rPr>
          <w:rFonts w:hint="eastAsia" w:ascii="仿宋" w:hAnsi="仿宋" w:eastAsia="仿宋" w:cs="仿宋"/>
          <w:color w:val="000000" w:themeColor="text1"/>
          <w:highlight w:val="none"/>
          <w14:textFill>
            <w14:solidFill>
              <w14:schemeClr w14:val="tx1"/>
            </w14:solidFill>
          </w14:textFill>
        </w:rPr>
        <w:t>有效期不足的申请将被否决。</w:t>
      </w:r>
    </w:p>
    <w:p w14:paraId="5927264E">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14.</w:t>
      </w:r>
      <w:r>
        <w:rPr>
          <w:rFonts w:hint="eastAsia" w:ascii="仿宋" w:hAnsi="仿宋" w:eastAsia="仿宋" w:cs="仿宋"/>
          <w:b/>
          <w:color w:val="000000" w:themeColor="text1"/>
          <w:highlight w:val="none"/>
          <w:lang w:eastAsia="zh-CN"/>
          <w14:textFill>
            <w14:solidFill>
              <w14:schemeClr w14:val="tx1"/>
            </w14:solidFill>
          </w14:textFill>
        </w:rPr>
        <w:t>响应文件</w:t>
      </w:r>
      <w:r>
        <w:rPr>
          <w:rFonts w:hint="eastAsia" w:ascii="仿宋" w:hAnsi="仿宋" w:eastAsia="仿宋" w:cs="仿宋"/>
          <w:b/>
          <w:color w:val="000000" w:themeColor="text1"/>
          <w:highlight w:val="none"/>
          <w14:textFill>
            <w14:solidFill>
              <w14:schemeClr w14:val="tx1"/>
            </w14:solidFill>
          </w14:textFill>
        </w:rPr>
        <w:t>的制作和签署</w:t>
      </w:r>
    </w:p>
    <w:p w14:paraId="7B144F35">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14.1 </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应在规定的地方加盖公章并由供应商法定代表人或其授权代表签字。</w:t>
      </w:r>
    </w:p>
    <w:p w14:paraId="2AED7ECD">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14.2 任何行间插字、涂改或增删，必须由供应商法定代表人或其授权代表在旁边签字才有效。</w:t>
      </w:r>
    </w:p>
    <w:p w14:paraId="477BC79A">
      <w:pPr>
        <w:snapToGrid w:val="0"/>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四、</w:t>
      </w:r>
      <w:r>
        <w:rPr>
          <w:rFonts w:hint="eastAsia" w:ascii="仿宋" w:hAnsi="仿宋" w:eastAsia="仿宋" w:cs="仿宋"/>
          <w:b/>
          <w:bCs/>
          <w:color w:val="000000" w:themeColor="text1"/>
          <w:highlight w:val="none"/>
          <w:lang w:eastAsia="zh-CN"/>
          <w14:textFill>
            <w14:solidFill>
              <w14:schemeClr w14:val="tx1"/>
            </w14:solidFill>
          </w14:textFill>
        </w:rPr>
        <w:t>响应文件</w:t>
      </w:r>
      <w:r>
        <w:rPr>
          <w:rFonts w:hint="eastAsia" w:ascii="仿宋" w:hAnsi="仿宋" w:eastAsia="仿宋" w:cs="仿宋"/>
          <w:b/>
          <w:bCs/>
          <w:color w:val="000000" w:themeColor="text1"/>
          <w:highlight w:val="none"/>
          <w14:textFill>
            <w14:solidFill>
              <w14:schemeClr w14:val="tx1"/>
            </w14:solidFill>
          </w14:textFill>
        </w:rPr>
        <w:t>的递交</w:t>
      </w:r>
    </w:p>
    <w:p w14:paraId="0C410A4C">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15. </w:t>
      </w:r>
      <w:r>
        <w:rPr>
          <w:rFonts w:hint="eastAsia" w:ascii="仿宋" w:hAnsi="仿宋" w:eastAsia="仿宋" w:cs="仿宋"/>
          <w:b/>
          <w:bCs/>
          <w:color w:val="000000" w:themeColor="text1"/>
          <w:highlight w:val="none"/>
          <w:lang w:eastAsia="zh-CN"/>
          <w14:textFill>
            <w14:solidFill>
              <w14:schemeClr w14:val="tx1"/>
            </w14:solidFill>
          </w14:textFill>
        </w:rPr>
        <w:t>响应文件</w:t>
      </w:r>
      <w:r>
        <w:rPr>
          <w:rFonts w:hint="eastAsia" w:ascii="仿宋" w:hAnsi="仿宋" w:eastAsia="仿宋" w:cs="仿宋"/>
          <w:b/>
          <w:color w:val="000000" w:themeColor="text1"/>
          <w:highlight w:val="none"/>
          <w14:textFill>
            <w14:solidFill>
              <w14:schemeClr w14:val="tx1"/>
            </w14:solidFill>
          </w14:textFill>
        </w:rPr>
        <w:t>的要求：详见遴选须知前附表</w:t>
      </w:r>
    </w:p>
    <w:p w14:paraId="5BEC3FB3">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16. </w:t>
      </w:r>
      <w:r>
        <w:rPr>
          <w:rFonts w:hint="eastAsia" w:ascii="仿宋" w:hAnsi="仿宋" w:eastAsia="仿宋" w:cs="仿宋"/>
          <w:b/>
          <w:color w:val="000000" w:themeColor="text1"/>
          <w:highlight w:val="none"/>
          <w:lang w:eastAsia="zh-CN"/>
          <w14:textFill>
            <w14:solidFill>
              <w14:schemeClr w14:val="tx1"/>
            </w14:solidFill>
          </w14:textFill>
        </w:rPr>
        <w:t>响应文件</w:t>
      </w:r>
      <w:r>
        <w:rPr>
          <w:rFonts w:hint="eastAsia" w:ascii="仿宋" w:hAnsi="仿宋" w:eastAsia="仿宋" w:cs="仿宋"/>
          <w:b/>
          <w:color w:val="000000" w:themeColor="text1"/>
          <w:highlight w:val="none"/>
          <w14:textFill>
            <w14:solidFill>
              <w14:schemeClr w14:val="tx1"/>
            </w14:solidFill>
          </w14:textFill>
        </w:rPr>
        <w:t>递交截止时间和地址</w:t>
      </w:r>
    </w:p>
    <w:p w14:paraId="75A7E17C">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16.1 供应商应在</w:t>
      </w:r>
      <w:r>
        <w:rPr>
          <w:rFonts w:hint="eastAsia" w:ascii="仿宋" w:hAnsi="仿宋" w:eastAsia="仿宋" w:cs="仿宋"/>
          <w:b/>
          <w:color w:val="000000" w:themeColor="text1"/>
          <w:highlight w:val="none"/>
          <w14:textFill>
            <w14:solidFill>
              <w14:schemeClr w14:val="tx1"/>
            </w14:solidFill>
          </w14:textFill>
        </w:rPr>
        <w:t>遴选须知前附表</w:t>
      </w:r>
      <w:r>
        <w:rPr>
          <w:rFonts w:hint="eastAsia" w:ascii="仿宋" w:hAnsi="仿宋" w:eastAsia="仿宋" w:cs="仿宋"/>
          <w:color w:val="000000" w:themeColor="text1"/>
          <w:highlight w:val="none"/>
          <w14:textFill>
            <w14:solidFill>
              <w14:schemeClr w14:val="tx1"/>
            </w14:solidFill>
          </w14:textFill>
        </w:rPr>
        <w:t>中规定的截止时间前递交。</w:t>
      </w:r>
    </w:p>
    <w:p w14:paraId="483B8DD4">
      <w:pPr>
        <w:snapToGrid w:val="0"/>
        <w:spacing w:line="360" w:lineRule="auto"/>
        <w:ind w:firstLine="420" w:firstLineChars="200"/>
        <w:rPr>
          <w:rFonts w:hint="default"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16.2 样品提交方式按</w:t>
      </w:r>
      <w:r>
        <w:rPr>
          <w:rFonts w:hint="eastAsia" w:ascii="仿宋" w:hAnsi="仿宋" w:eastAsia="仿宋" w:cs="仿宋"/>
          <w:b/>
          <w:color w:val="000000" w:themeColor="text1"/>
          <w:highlight w:val="none"/>
          <w14:textFill>
            <w14:solidFill>
              <w14:schemeClr w14:val="tx1"/>
            </w14:solidFill>
          </w14:textFill>
        </w:rPr>
        <w:t>遴选须知前附表</w:t>
      </w:r>
      <w:r>
        <w:rPr>
          <w:rFonts w:hint="eastAsia" w:ascii="仿宋" w:hAnsi="仿宋" w:eastAsia="仿宋" w:cs="仿宋"/>
          <w:color w:val="000000" w:themeColor="text1"/>
          <w:highlight w:val="none"/>
          <w14:textFill>
            <w14:solidFill>
              <w14:schemeClr w14:val="tx1"/>
            </w14:solidFill>
          </w14:textFill>
        </w:rPr>
        <w:t>中规定执行。</w:t>
      </w:r>
      <w:r>
        <w:rPr>
          <w:rFonts w:hint="eastAsia" w:ascii="仿宋" w:hAnsi="仿宋" w:eastAsia="仿宋" w:cs="仿宋"/>
          <w:b/>
          <w:color w:val="000000" w:themeColor="text1"/>
          <w:highlight w:val="none"/>
          <w:lang w:eastAsia="zh-CN"/>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如适用</w:t>
      </w:r>
      <w:r>
        <w:rPr>
          <w:rFonts w:hint="eastAsia" w:ascii="仿宋" w:hAnsi="仿宋" w:eastAsia="仿宋" w:cs="仿宋"/>
          <w:b/>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br w:type="textWrapping"/>
      </w:r>
      <w:r>
        <w:rPr>
          <w:rFonts w:hint="eastAsia" w:ascii="仿宋" w:hAnsi="仿宋" w:eastAsia="仿宋" w:cs="仿宋"/>
          <w:color w:val="000000" w:themeColor="text1"/>
          <w:highlight w:val="none"/>
          <w14:textFill>
            <w14:solidFill>
              <w14:schemeClr w14:val="tx1"/>
            </w14:solidFill>
          </w14:textFill>
        </w:rPr>
        <w:t>16.3 电子</w:t>
      </w:r>
      <w:r>
        <w:rPr>
          <w:rFonts w:hint="eastAsia" w:ascii="仿宋" w:hAnsi="仿宋" w:eastAsia="仿宋" w:cs="仿宋"/>
          <w:b/>
          <w:color w:val="000000" w:themeColor="text1"/>
          <w:highlight w:val="none"/>
          <w:lang w:eastAsia="zh-CN"/>
          <w14:textFill>
            <w14:solidFill>
              <w14:schemeClr w14:val="tx1"/>
            </w14:solidFill>
          </w14:textFill>
        </w:rPr>
        <w:t>响应文件</w:t>
      </w:r>
      <w:r>
        <w:rPr>
          <w:rFonts w:hint="eastAsia" w:ascii="仿宋" w:hAnsi="仿宋" w:eastAsia="仿宋" w:cs="仿宋"/>
          <w:b/>
          <w:color w:val="000000" w:themeColor="text1"/>
          <w:highlight w:val="none"/>
          <w14:textFill>
            <w14:solidFill>
              <w14:schemeClr w14:val="tx1"/>
            </w14:solidFill>
          </w14:textFill>
        </w:rPr>
        <w:t>递交的方式</w:t>
      </w:r>
    </w:p>
    <w:p w14:paraId="6185E1B2">
      <w:pPr>
        <w:snapToGrid w:val="0"/>
        <w:spacing w:line="360" w:lineRule="auto"/>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电子</w:t>
      </w:r>
      <w:r>
        <w:rPr>
          <w:rFonts w:hint="eastAsia" w:ascii="仿宋" w:hAnsi="仿宋" w:eastAsia="仿宋" w:cs="仿宋"/>
          <w:b/>
          <w:color w:val="000000" w:themeColor="text1"/>
          <w:highlight w:val="none"/>
          <w:lang w:eastAsia="zh-CN"/>
          <w14:textFill>
            <w14:solidFill>
              <w14:schemeClr w14:val="tx1"/>
            </w14:solidFill>
          </w14:textFill>
        </w:rPr>
        <w:t>响应文件</w:t>
      </w:r>
      <w:r>
        <w:rPr>
          <w:rFonts w:hint="eastAsia" w:ascii="仿宋" w:hAnsi="仿宋" w:eastAsia="仿宋" w:cs="仿宋"/>
          <w:bCs/>
          <w:color w:val="000000" w:themeColor="text1"/>
          <w:highlight w:val="none"/>
          <w14:textFill>
            <w14:solidFill>
              <w14:schemeClr w14:val="tx1"/>
            </w14:solidFill>
          </w14:textFill>
        </w:rPr>
        <w:t>所附证书证件要求</w:t>
      </w:r>
    </w:p>
    <w:p w14:paraId="6F64792A">
      <w:pPr>
        <w:snapToGrid w:val="0"/>
        <w:spacing w:line="360" w:lineRule="auto"/>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①</w:t>
      </w:r>
      <w:r>
        <w:rPr>
          <w:rFonts w:hint="eastAsia" w:ascii="仿宋" w:hAnsi="仿宋" w:eastAsia="仿宋" w:cs="仿宋"/>
          <w:color w:val="000000" w:themeColor="text1"/>
          <w:highlight w:val="none"/>
          <w14:textFill>
            <w14:solidFill>
              <w14:schemeClr w14:val="tx1"/>
            </w14:solidFill>
          </w14:textFill>
        </w:rPr>
        <w:t>电子</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bCs/>
          <w:color w:val="000000" w:themeColor="text1"/>
          <w:highlight w:val="none"/>
          <w14:textFill>
            <w14:solidFill>
              <w14:schemeClr w14:val="tx1"/>
            </w14:solidFill>
          </w14:textFill>
        </w:rPr>
        <w:t>所附证书证件均应为</w:t>
      </w: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bCs/>
          <w:color w:val="000000" w:themeColor="text1"/>
          <w:highlight w:val="none"/>
          <w14:textFill>
            <w14:solidFill>
              <w14:schemeClr w14:val="tx1"/>
            </w14:solidFill>
          </w14:textFill>
        </w:rPr>
        <w:t>证书证件的原件扫描件，按遴选文件要求在相应位置</w:t>
      </w:r>
      <w:r>
        <w:rPr>
          <w:rFonts w:hint="eastAsia" w:ascii="仿宋" w:hAnsi="仿宋" w:eastAsia="仿宋" w:cs="宋体"/>
          <w:bCs/>
          <w:color w:val="000000" w:themeColor="text1"/>
          <w:sz w:val="22"/>
          <w:highlight w:val="none"/>
          <w14:textFill>
            <w14:solidFill>
              <w14:schemeClr w14:val="tx1"/>
            </w14:solidFill>
          </w14:textFill>
        </w:rPr>
        <w:t>加盖电子签章/</w:t>
      </w:r>
      <w:r>
        <w:rPr>
          <w:rFonts w:hint="eastAsia" w:ascii="仿宋" w:hAnsi="仿宋" w:eastAsia="仿宋" w:cs="仿宋"/>
          <w:bCs/>
          <w:color w:val="000000" w:themeColor="text1"/>
          <w:highlight w:val="none"/>
          <w14:textFill>
            <w14:solidFill>
              <w14:schemeClr w14:val="tx1"/>
            </w14:solidFill>
          </w14:textFill>
        </w:rPr>
        <w:t>公章。由</w:t>
      </w: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bCs/>
          <w:color w:val="000000" w:themeColor="text1"/>
          <w:highlight w:val="none"/>
          <w14:textFill>
            <w14:solidFill>
              <w14:schemeClr w14:val="tx1"/>
            </w14:solidFill>
          </w14:textFill>
        </w:rPr>
        <w:t>的法定代表人（单位负责人）签字或加盖印章/公章的，应附法定代表人身份证明，由代理人签字或加盖印章/公章的，应附由法定代表人签署的授权委托书。签字或盖章的具体要求见遴选文件。</w:t>
      </w:r>
    </w:p>
    <w:p w14:paraId="7FB40E2A">
      <w:pPr>
        <w:snapToGrid w:val="0"/>
        <w:spacing w:line="360" w:lineRule="auto"/>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②如</w:t>
      </w: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bCs/>
          <w:color w:val="000000" w:themeColor="text1"/>
          <w:highlight w:val="none"/>
          <w14:textFill>
            <w14:solidFill>
              <w14:schemeClr w14:val="tx1"/>
            </w14:solidFill>
          </w14:textFill>
        </w:rPr>
        <w:t>在制作、上传</w:t>
      </w:r>
      <w:r>
        <w:rPr>
          <w:rFonts w:hint="eastAsia" w:ascii="仿宋" w:hAnsi="仿宋" w:eastAsia="仿宋" w:cs="仿宋"/>
          <w:color w:val="000000" w:themeColor="text1"/>
          <w:highlight w:val="none"/>
          <w14:textFill>
            <w14:solidFill>
              <w14:schemeClr w14:val="tx1"/>
            </w14:solidFill>
          </w14:textFill>
        </w:rPr>
        <w:t>电子</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bCs/>
          <w:color w:val="000000" w:themeColor="text1"/>
          <w:highlight w:val="none"/>
          <w14:textFill>
            <w14:solidFill>
              <w14:schemeClr w14:val="tx1"/>
            </w14:solidFill>
          </w14:textFill>
        </w:rPr>
        <w:t>过程中，遇到操作和使用问题，请及时联系电子交易平台客服人员，客服电话:400-696-8998 选 2 拨分机号74</w:t>
      </w:r>
      <w:r>
        <w:rPr>
          <w:rFonts w:hint="eastAsia" w:ascii="仿宋" w:hAnsi="仿宋" w:eastAsia="仿宋" w:cs="仿宋"/>
          <w:color w:val="000000" w:themeColor="text1"/>
          <w:highlight w:val="none"/>
          <w14:textFill>
            <w14:solidFill>
              <w14:schemeClr w14:val="tx1"/>
            </w14:solidFill>
          </w14:textFill>
        </w:rPr>
        <w:t>。</w:t>
      </w:r>
    </w:p>
    <w:p w14:paraId="2D7A9E34">
      <w:pPr>
        <w:snapToGrid w:val="0"/>
        <w:spacing w:line="360" w:lineRule="auto"/>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（2）递交</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bCs/>
          <w:color w:val="000000" w:themeColor="text1"/>
          <w:highlight w:val="none"/>
          <w14:textFill>
            <w14:solidFill>
              <w14:schemeClr w14:val="tx1"/>
            </w14:solidFill>
          </w14:textFill>
        </w:rPr>
        <w:t>的电子交易平台</w:t>
      </w:r>
    </w:p>
    <w:p w14:paraId="79ED8A03">
      <w:pPr>
        <w:snapToGrid w:val="0"/>
        <w:spacing w:line="360" w:lineRule="auto"/>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通过电子交易平台用户系统上传加密的电子</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bCs/>
          <w:color w:val="000000" w:themeColor="text1"/>
          <w:highlight w:val="none"/>
          <w14:textFill>
            <w14:solidFill>
              <w14:schemeClr w14:val="tx1"/>
            </w14:solidFill>
          </w14:textFill>
        </w:rPr>
        <w:t>。</w:t>
      </w:r>
    </w:p>
    <w:p w14:paraId="618EB929">
      <w:pPr>
        <w:pStyle w:val="35"/>
        <w:ind w:left="0" w:leftChars="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（3）远程解密</w:t>
      </w:r>
    </w:p>
    <w:p w14:paraId="0A7263C3">
      <w:pPr>
        <w:snapToGrid w:val="0"/>
        <w:spacing w:line="360" w:lineRule="auto"/>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①在规定时间内互联网远程解密，逾期未成功解密的视为自动放弃。</w:t>
      </w:r>
    </w:p>
    <w:p w14:paraId="5FE9F495">
      <w:pPr>
        <w:snapToGrid w:val="0"/>
        <w:spacing w:line="360" w:lineRule="auto"/>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②在远程开标解密过程中由采购人全程监督。</w:t>
      </w:r>
    </w:p>
    <w:p w14:paraId="21A87D6A">
      <w:pPr>
        <w:snapToGrid w:val="0"/>
        <w:spacing w:line="360" w:lineRule="auto"/>
        <w:ind w:firstLine="422" w:firstLineChars="200"/>
        <w:rPr>
          <w:rFonts w:hint="eastAsia"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 迟交的</w:t>
      </w:r>
      <w:r>
        <w:rPr>
          <w:rFonts w:hint="eastAsia" w:ascii="仿宋" w:hAnsi="仿宋" w:eastAsia="仿宋" w:cs="仿宋"/>
          <w:b/>
          <w:color w:val="000000" w:themeColor="text1"/>
          <w:highlight w:val="none"/>
          <w:lang w:eastAsia="zh-CN"/>
          <w14:textFill>
            <w14:solidFill>
              <w14:schemeClr w14:val="tx1"/>
            </w14:solidFill>
          </w14:textFill>
        </w:rPr>
        <w:t>响应文件</w:t>
      </w:r>
    </w:p>
    <w:p w14:paraId="172D28C7">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逾期递交</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bCs/>
          <w:color w:val="000000" w:themeColor="text1"/>
          <w:highlight w:val="none"/>
          <w14:textFill>
            <w14:solidFill>
              <w14:schemeClr w14:val="tx1"/>
            </w14:solidFill>
          </w14:textFill>
        </w:rPr>
        <w:t>，采购代理机构将予以拒收。</w:t>
      </w:r>
    </w:p>
    <w:p w14:paraId="7BD531A6">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18. </w:t>
      </w:r>
      <w:r>
        <w:rPr>
          <w:rFonts w:hint="eastAsia" w:ascii="仿宋" w:hAnsi="仿宋" w:eastAsia="仿宋" w:cs="仿宋"/>
          <w:b/>
          <w:color w:val="000000" w:themeColor="text1"/>
          <w:highlight w:val="none"/>
          <w:lang w:eastAsia="zh-CN"/>
          <w14:textFill>
            <w14:solidFill>
              <w14:schemeClr w14:val="tx1"/>
            </w14:solidFill>
          </w14:textFill>
        </w:rPr>
        <w:t>响应文件</w:t>
      </w:r>
      <w:r>
        <w:rPr>
          <w:rFonts w:hint="eastAsia" w:ascii="仿宋" w:hAnsi="仿宋" w:eastAsia="仿宋" w:cs="仿宋"/>
          <w:b/>
          <w:color w:val="000000" w:themeColor="text1"/>
          <w:highlight w:val="none"/>
          <w14:textFill>
            <w14:solidFill>
              <w14:schemeClr w14:val="tx1"/>
            </w14:solidFill>
          </w14:textFill>
        </w:rPr>
        <w:t>的修改与撤回</w:t>
      </w:r>
    </w:p>
    <w:p w14:paraId="70AFB268">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18.1 在规定的</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递交截止时间前，供应商可以补充、修改或撤回已递交的</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，但应以书面形式通知采购代理机构。</w:t>
      </w:r>
    </w:p>
    <w:p w14:paraId="7B881109">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18.2 供应商撤回</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的，采购代理机构自收到供应商书面撤回通知之日起5日内退还已收取的遴选保证金。</w:t>
      </w:r>
    </w:p>
    <w:p w14:paraId="6545770F">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18.3 补充、修改的内容为</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的组成部分，只需提供一份。补充、修改的</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应按照规定进行编制、密封、标记和递交，并标明“补充”或“修改”字样。</w:t>
      </w:r>
    </w:p>
    <w:p w14:paraId="37787721">
      <w:pPr>
        <w:snapToGrid w:val="0"/>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五、响应与评审</w:t>
      </w:r>
    </w:p>
    <w:p w14:paraId="6A7AD53B">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19. 响应</w:t>
      </w:r>
    </w:p>
    <w:p w14:paraId="1CF87A47">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响应时间和地点</w:t>
      </w:r>
    </w:p>
    <w:p w14:paraId="4E4794FA">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采购代理机构在遴选申请截止时间（开标时间）和地点通过电子交易平台公开遴选，所有供应商的法定代表人（单位负责人）或其委托代理人应准时在线参加并携带数字证书CA远程进行</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的解密操作。如果供应商在规定的解密时长内（默认为30分钟）未进行远程解密操作，或远程解密电子</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导致解密失败，均视为供应商撤回其申请。</w:t>
      </w:r>
    </w:p>
    <w:p w14:paraId="1F1233BD">
      <w:pPr>
        <w:snapToGrid w:val="0"/>
        <w:spacing w:line="360" w:lineRule="auto"/>
        <w:ind w:firstLine="42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 评审</w:t>
      </w:r>
    </w:p>
    <w:p w14:paraId="6B961EB2">
      <w:pPr>
        <w:snapToGrid w:val="0"/>
        <w:spacing w:line="360" w:lineRule="auto"/>
        <w:ind w:firstLine="42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20.1 评审委员会</w:t>
      </w:r>
    </w:p>
    <w:p w14:paraId="5B79E66A">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评审委员会负责对</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进行综合评分。</w:t>
      </w:r>
    </w:p>
    <w:p w14:paraId="5E7D21C8">
      <w:pPr>
        <w:snapToGrid w:val="0"/>
        <w:spacing w:line="360" w:lineRule="auto"/>
        <w:ind w:firstLine="42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20.2 </w:t>
      </w:r>
      <w:r>
        <w:rPr>
          <w:rFonts w:hint="eastAsia" w:ascii="仿宋" w:hAnsi="仿宋" w:eastAsia="仿宋" w:cs="仿宋"/>
          <w:b/>
          <w:bCs/>
          <w:color w:val="000000" w:themeColor="text1"/>
          <w:highlight w:val="none"/>
          <w:lang w:eastAsia="zh-CN"/>
          <w14:textFill>
            <w14:solidFill>
              <w14:schemeClr w14:val="tx1"/>
            </w14:solidFill>
          </w14:textFill>
        </w:rPr>
        <w:t>响应文件</w:t>
      </w:r>
      <w:r>
        <w:rPr>
          <w:rFonts w:hint="eastAsia" w:ascii="仿宋" w:hAnsi="仿宋" w:eastAsia="仿宋" w:cs="仿宋"/>
          <w:b/>
          <w:bCs/>
          <w:color w:val="000000" w:themeColor="text1"/>
          <w:highlight w:val="none"/>
          <w14:textFill>
            <w14:solidFill>
              <w14:schemeClr w14:val="tx1"/>
            </w14:solidFill>
          </w14:textFill>
        </w:rPr>
        <w:t>的澄清</w:t>
      </w:r>
    </w:p>
    <w:p w14:paraId="2D83BE1D">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在评审期间，评审委员会可要求供应商对其</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中含义不明确的内容作必要的澄清或说明,但澄清或说明不得超出</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的范围或改变</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实质性内容，澄清的内容为</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的组成部分。</w:t>
      </w:r>
    </w:p>
    <w:p w14:paraId="64317035">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20.3入围供应商的确定</w:t>
      </w:r>
    </w:p>
    <w:p w14:paraId="3DA31A2E">
      <w:pPr>
        <w:snapToGrid w:val="0"/>
        <w:spacing w:line="360" w:lineRule="auto"/>
        <w:ind w:firstLine="420"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入围供应商数量见</w:t>
      </w:r>
      <w:r>
        <w:rPr>
          <w:rFonts w:hint="eastAsia" w:ascii="仿宋" w:hAnsi="仿宋" w:eastAsia="仿宋" w:cs="仿宋"/>
          <w:b/>
          <w:bCs/>
          <w:color w:val="000000" w:themeColor="text1"/>
          <w:highlight w:val="none"/>
          <w14:textFill>
            <w14:solidFill>
              <w14:schemeClr w14:val="tx1"/>
            </w14:solidFill>
          </w14:textFill>
        </w:rPr>
        <w:t xml:space="preserve">第三章 </w:t>
      </w:r>
      <w:r>
        <w:rPr>
          <w:rFonts w:hint="eastAsia" w:ascii="仿宋" w:hAnsi="仿宋" w:eastAsia="仿宋" w:cs="仿宋"/>
          <w:b/>
          <w:color w:val="000000" w:themeColor="text1"/>
          <w:highlight w:val="none"/>
          <w14:textFill>
            <w14:solidFill>
              <w14:schemeClr w14:val="tx1"/>
            </w14:solidFill>
          </w14:textFill>
        </w:rPr>
        <w:t>采购目录</w:t>
      </w:r>
      <w:r>
        <w:rPr>
          <w:rFonts w:hint="eastAsia" w:ascii="仿宋" w:hAnsi="仿宋" w:eastAsia="仿宋" w:cs="仿宋"/>
          <w:color w:val="000000" w:themeColor="text1"/>
          <w:highlight w:val="none"/>
          <w14:textFill>
            <w14:solidFill>
              <w14:schemeClr w14:val="tx1"/>
            </w14:solidFill>
          </w14:textFill>
        </w:rPr>
        <w:t>。</w:t>
      </w:r>
    </w:p>
    <w:p w14:paraId="7D6A8FBE">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 与评审委员会、采购人、采购代理机构的接触</w:t>
      </w:r>
    </w:p>
    <w:p w14:paraId="2B142725">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供应商试图对评审委员会、采购人、采购代理机构的评审、比较或签订合同的决定进行影响，都将导致其申请被否决。</w:t>
      </w:r>
    </w:p>
    <w:p w14:paraId="4DFAB9D4">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六、签订合同</w:t>
      </w:r>
    </w:p>
    <w:p w14:paraId="1593C743">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 签订合同</w:t>
      </w:r>
    </w:p>
    <w:p w14:paraId="3FD898E2">
      <w:pPr>
        <w:widowControl/>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21.1采购人应自入围通知书发出之日起30日内，按入围通知书指定的时间、地点与入围供应商签订合同。所签订的合同不得对遴选文件确定的事项和入围供应商响应文件作实质性修改。</w:t>
      </w:r>
    </w:p>
    <w:p w14:paraId="04F9B55A">
      <w:pPr>
        <w:widowControl/>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21.2遴选文件、入围供应商响应文件均为签订合同的依据。</w:t>
      </w:r>
    </w:p>
    <w:p w14:paraId="6892A870">
      <w:pPr>
        <w:widowControl/>
        <w:snapToGrid w:val="0"/>
        <w:spacing w:line="360" w:lineRule="auto"/>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21.3遴选文件要求入围供应商向采购人提交履约担保的，入围供应商应按照【遴选须知前附表】的规定提交。</w:t>
      </w:r>
    </w:p>
    <w:p w14:paraId="5482844D">
      <w:pPr>
        <w:widowControl/>
        <w:snapToGrid w:val="0"/>
        <w:spacing w:line="360" w:lineRule="auto"/>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21.4入围供应商没有按照本章第21.3</w:t>
      </w:r>
      <w:r>
        <w:rPr>
          <w:rFonts w:hint="eastAsia" w:ascii="仿宋" w:hAnsi="仿宋" w:eastAsia="仿宋" w:cs="仿宋"/>
          <w:color w:val="000000" w:themeColor="text1"/>
          <w:highlight w:val="none"/>
          <w:lang w:val="zh-CN"/>
          <w14:textFill>
            <w14:solidFill>
              <w14:schemeClr w14:val="tx1"/>
            </w14:solidFill>
          </w14:textFill>
        </w:rPr>
        <w:t>款</w:t>
      </w:r>
      <w:r>
        <w:rPr>
          <w:rFonts w:hint="eastAsia" w:ascii="仿宋" w:hAnsi="仿宋" w:eastAsia="仿宋" w:cs="仿宋"/>
          <w:color w:val="000000" w:themeColor="text1"/>
          <w:highlight w:val="none"/>
          <w14:textFill>
            <w14:solidFill>
              <w14:schemeClr w14:val="tx1"/>
            </w14:solidFill>
          </w14:textFill>
        </w:rPr>
        <w:t>规定提交履约担保的，视为放弃中标，其遴选保证金不予退还。</w:t>
      </w:r>
    </w:p>
    <w:p w14:paraId="20D51BAE">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22. 腐败和欺诈行为</w:t>
      </w:r>
    </w:p>
    <w:p w14:paraId="12359297">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22.1本入围遴选形成的合同项下的买方和卖方（供应商）在合同采购和实施过程中应遵守相应的道德标准。为此目的，定义下述条件：</w:t>
      </w:r>
    </w:p>
    <w:p w14:paraId="4DDBB0A9">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（1）“腐败行为”是指通过提供、给予、接受、索取任何有价值的东西来影响采购人员在采购过程中或合同实施过程中的行为；</w:t>
      </w:r>
    </w:p>
    <w:p w14:paraId="1D9BDD6B">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（2）“欺诈行为”是指为了影响采购过程或合同实施过程而谎报事实，损害买方和公共利益，包括供应商之间串通（递交</w:t>
      </w:r>
      <w:r>
        <w:rPr>
          <w:rFonts w:hint="eastAsia" w:ascii="仿宋" w:hAnsi="仿宋" w:eastAsia="仿宋" w:cs="仿宋"/>
          <w:bCs/>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之前和之后），人为地使入围遴选丧失竞争性，剥夺了买方从竞争中所获得的利益。</w:t>
      </w:r>
    </w:p>
    <w:p w14:paraId="0487C348">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22.2如果被推荐的入围供应商被认为在本项目合同的竞争中有腐败和欺诈行为，则被取消入围资格。</w:t>
      </w:r>
    </w:p>
    <w:p w14:paraId="18E13730">
      <w:pPr>
        <w:snapToGrid w:val="0"/>
        <w:spacing w:line="360" w:lineRule="auto"/>
        <w:ind w:left="-420" w:leftChars="-200" w:firstLine="843" w:firstLineChars="4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七 、其他</w:t>
      </w:r>
    </w:p>
    <w:p w14:paraId="446DE861">
      <w:pPr>
        <w:numPr>
          <w:ilvl w:val="255"/>
          <w:numId w:val="0"/>
        </w:num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23.代理服务费</w:t>
      </w:r>
    </w:p>
    <w:p w14:paraId="66BE54EC">
      <w:pPr>
        <w:snapToGrid w:val="0"/>
        <w:spacing w:line="360" w:lineRule="auto"/>
        <w:ind w:left="420" w:left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23.1 代理服务费规定见</w:t>
      </w:r>
      <w:r>
        <w:rPr>
          <w:rFonts w:hint="eastAsia" w:ascii="仿宋" w:hAnsi="仿宋" w:eastAsia="仿宋" w:cs="仿宋"/>
          <w:b/>
          <w:bCs/>
          <w:color w:val="000000" w:themeColor="text1"/>
          <w:highlight w:val="none"/>
          <w14:textFill>
            <w14:solidFill>
              <w14:schemeClr w14:val="tx1"/>
            </w14:solidFill>
          </w14:textFill>
        </w:rPr>
        <w:t>【遴选须知前附表】。</w:t>
      </w:r>
    </w:p>
    <w:p w14:paraId="5CDCD5C9">
      <w:pPr>
        <w:snapToGrid w:val="0"/>
        <w:spacing w:line="360" w:lineRule="auto"/>
        <w:ind w:left="420" w:left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24、其他要求</w:t>
      </w:r>
    </w:p>
    <w:p w14:paraId="0D3AA958">
      <w:pPr>
        <w:snapToGrid w:val="0"/>
        <w:spacing w:line="360" w:lineRule="auto"/>
        <w:ind w:left="420" w:left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24.1 遴选文件需要补充的其他内容见</w:t>
      </w:r>
      <w:r>
        <w:rPr>
          <w:rFonts w:hint="eastAsia" w:ascii="仿宋" w:hAnsi="仿宋" w:eastAsia="仿宋" w:cs="仿宋"/>
          <w:b/>
          <w:color w:val="000000" w:themeColor="text1"/>
          <w:highlight w:val="none"/>
          <w14:textFill>
            <w14:solidFill>
              <w14:schemeClr w14:val="tx1"/>
            </w14:solidFill>
          </w14:textFill>
        </w:rPr>
        <w:t>【遴选须知前附表】</w:t>
      </w:r>
      <w:r>
        <w:rPr>
          <w:rFonts w:hint="eastAsia" w:ascii="仿宋" w:hAnsi="仿宋" w:eastAsia="仿宋" w:cs="仿宋"/>
          <w:bCs/>
          <w:color w:val="000000" w:themeColor="text1"/>
          <w:highlight w:val="none"/>
          <w14:textFill>
            <w14:solidFill>
              <w14:schemeClr w14:val="tx1"/>
            </w14:solidFill>
          </w14:textFill>
        </w:rPr>
        <w:t>。</w:t>
      </w:r>
    </w:p>
    <w:p w14:paraId="35EED704">
      <w:pPr>
        <w:snapToGrid w:val="0"/>
        <w:spacing w:line="360" w:lineRule="auto"/>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25、不诚信行为</w:t>
      </w:r>
    </w:p>
    <w:p w14:paraId="53285F62">
      <w:pPr>
        <w:snapToGrid w:val="0"/>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25.1 供应商在响应文件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r>
        <w:rPr>
          <w:rFonts w:hint="eastAsia" w:ascii="仿宋" w:hAnsi="仿宋" w:eastAsia="仿宋" w:cs="仿宋"/>
          <w:b w:val="0"/>
          <w:bCs w:val="0"/>
          <w:color w:val="000000" w:themeColor="text1"/>
          <w:highlight w:val="none"/>
          <w14:textFill>
            <w14:solidFill>
              <w14:schemeClr w14:val="tx1"/>
            </w14:solidFill>
          </w14:textFill>
        </w:rPr>
        <w:br w:type="textWrapping"/>
      </w:r>
      <w:bookmarkEnd w:id="10"/>
    </w:p>
    <w:p w14:paraId="64A16C0D">
      <w:pPr>
        <w:pStyle w:val="15"/>
        <w:rPr>
          <w:highlight w:val="none"/>
        </w:rPr>
        <w:sectPr>
          <w:footerReference r:id="rId4" w:type="default"/>
          <w:pgSz w:w="11906" w:h="16838"/>
          <w:pgMar w:top="1134" w:right="1134" w:bottom="1134" w:left="1134" w:header="851" w:footer="680" w:gutter="0"/>
          <w:pgNumType w:fmt="decimal" w:start="1"/>
          <w:cols w:space="720" w:num="1"/>
          <w:docGrid w:linePitch="312" w:charSpace="0"/>
        </w:sectPr>
      </w:pPr>
    </w:p>
    <w:p w14:paraId="46A5B949">
      <w:pPr>
        <w:pStyle w:val="4"/>
        <w:numPr>
          <w:ilvl w:val="0"/>
          <w:numId w:val="2"/>
        </w:numPr>
        <w:jc w:val="center"/>
        <w:rPr>
          <w:color w:val="000000" w:themeColor="text1"/>
          <w:highlight w:val="none"/>
          <w14:textFill>
            <w14:solidFill>
              <w14:schemeClr w14:val="tx1"/>
            </w14:solidFill>
          </w14:textFill>
        </w:rPr>
      </w:pPr>
      <w:bookmarkStart w:id="13" w:name="_Toc32299"/>
      <w:bookmarkStart w:id="14" w:name="_Toc6078"/>
      <w:bookmarkStart w:id="15" w:name="_Toc29848"/>
      <w:bookmarkStart w:id="16" w:name="_Toc28674"/>
      <w:bookmarkStart w:id="17" w:name="_Toc11416"/>
      <w:bookmarkStart w:id="18" w:name="_Toc29841"/>
      <w:bookmarkStart w:id="19" w:name="_Toc4692"/>
      <w:r>
        <w:rPr>
          <w:rFonts w:hint="eastAsia"/>
          <w:color w:val="000000" w:themeColor="text1"/>
          <w:highlight w:val="none"/>
          <w14:textFill>
            <w14:solidFill>
              <w14:schemeClr w14:val="tx1"/>
            </w14:solidFill>
          </w14:textFill>
        </w:rPr>
        <w:t>采购目录</w:t>
      </w:r>
      <w:bookmarkEnd w:id="13"/>
      <w:bookmarkEnd w:id="14"/>
      <w:bookmarkEnd w:id="15"/>
      <w:bookmarkEnd w:id="16"/>
      <w:bookmarkEnd w:id="17"/>
      <w:bookmarkEnd w:id="18"/>
      <w:bookmarkEnd w:id="19"/>
      <w:bookmarkStart w:id="20" w:name="_Toc26541"/>
      <w:bookmarkEnd w:id="20"/>
      <w:bookmarkStart w:id="21" w:name="_Toc142404262"/>
    </w:p>
    <w:p w14:paraId="5EC1F611">
      <w:pPr>
        <w:jc w:val="center"/>
        <w:outlineLvl w:val="1"/>
        <w:rPr>
          <w:rFonts w:hint="eastAsia" w:ascii="仿宋" w:hAnsi="仿宋" w:eastAsia="仿宋" w:cs="仿宋"/>
          <w:color w:val="000000" w:themeColor="text1"/>
          <w:sz w:val="28"/>
          <w:szCs w:val="28"/>
          <w:highlight w:val="none"/>
          <w14:textFill>
            <w14:solidFill>
              <w14:schemeClr w14:val="tx1"/>
            </w14:solidFill>
          </w14:textFill>
        </w:rPr>
      </w:pPr>
      <w:bookmarkStart w:id="22" w:name="_Toc27768"/>
      <w:bookmarkStart w:id="23" w:name="_Toc318"/>
      <w:bookmarkStart w:id="24" w:name="_Toc28864"/>
      <w:bookmarkStart w:id="25" w:name="_Toc28650"/>
      <w:bookmarkStart w:id="26" w:name="_Toc26669"/>
      <w:bookmarkStart w:id="27" w:name="_Toc30966"/>
      <w:bookmarkStart w:id="28" w:name="_Toc10343"/>
      <w:bookmarkStart w:id="29" w:name="_Toc10541"/>
      <w:bookmarkStart w:id="30" w:name="_Toc23823"/>
      <w:bookmarkStart w:id="31" w:name="_Toc18403"/>
      <w:bookmarkStart w:id="32" w:name="_Toc6250"/>
      <w:bookmarkStart w:id="33" w:name="_Toc6693"/>
      <w:r>
        <w:rPr>
          <w:rFonts w:hint="eastAsia" w:ascii="仿宋" w:hAnsi="仿宋" w:eastAsia="仿宋" w:cs="仿宋"/>
          <w:color w:val="000000" w:themeColor="text1"/>
          <w:sz w:val="28"/>
          <w:szCs w:val="28"/>
          <w:highlight w:val="none"/>
          <w14:textFill>
            <w14:solidFill>
              <w14:schemeClr w14:val="tx1"/>
            </w14:solidFill>
          </w14:textFill>
        </w:rPr>
        <w:t>第一节采购目录清单</w:t>
      </w:r>
      <w:bookmarkEnd w:id="21"/>
      <w:bookmarkEnd w:id="22"/>
      <w:bookmarkEnd w:id="23"/>
      <w:bookmarkEnd w:id="24"/>
      <w:bookmarkEnd w:id="25"/>
      <w:bookmarkEnd w:id="26"/>
      <w:bookmarkEnd w:id="27"/>
      <w:bookmarkEnd w:id="28"/>
      <w:bookmarkEnd w:id="29"/>
      <w:bookmarkEnd w:id="30"/>
      <w:bookmarkEnd w:id="31"/>
      <w:bookmarkEnd w:id="32"/>
      <w:bookmarkEnd w:id="33"/>
    </w:p>
    <w:tbl>
      <w:tblPr>
        <w:tblStyle w:val="36"/>
        <w:tblW w:w="13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664"/>
        <w:gridCol w:w="1863"/>
        <w:gridCol w:w="1436"/>
        <w:gridCol w:w="3477"/>
        <w:gridCol w:w="2826"/>
        <w:gridCol w:w="644"/>
        <w:gridCol w:w="886"/>
        <w:gridCol w:w="886"/>
        <w:gridCol w:w="651"/>
      </w:tblGrid>
      <w:tr w14:paraId="59A6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blHeader/>
        </w:trPr>
        <w:tc>
          <w:tcPr>
            <w:tcW w:w="6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75E41">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包号</w:t>
            </w:r>
          </w:p>
        </w:tc>
        <w:tc>
          <w:tcPr>
            <w:tcW w:w="664" w:type="dxa"/>
            <w:tcBorders>
              <w:top w:val="single" w:color="000000" w:sz="8" w:space="0"/>
              <w:left w:val="nil"/>
              <w:bottom w:val="single" w:color="000000" w:sz="8" w:space="0"/>
              <w:right w:val="single" w:color="000000" w:sz="8" w:space="0"/>
            </w:tcBorders>
            <w:shd w:val="clear" w:color="auto" w:fill="auto"/>
            <w:vAlign w:val="center"/>
          </w:tcPr>
          <w:p w14:paraId="507613D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目录序号</w:t>
            </w:r>
          </w:p>
        </w:tc>
        <w:tc>
          <w:tcPr>
            <w:tcW w:w="1863" w:type="dxa"/>
            <w:tcBorders>
              <w:top w:val="single" w:color="000000" w:sz="8" w:space="0"/>
              <w:left w:val="nil"/>
              <w:bottom w:val="single" w:color="000000" w:sz="8" w:space="0"/>
              <w:right w:val="single" w:color="000000" w:sz="8" w:space="0"/>
            </w:tcBorders>
            <w:shd w:val="clear" w:color="auto" w:fill="auto"/>
            <w:vAlign w:val="center"/>
          </w:tcPr>
          <w:p w14:paraId="10A7D9D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目录名称</w:t>
            </w:r>
          </w:p>
        </w:tc>
        <w:tc>
          <w:tcPr>
            <w:tcW w:w="1436" w:type="dxa"/>
            <w:tcBorders>
              <w:top w:val="single" w:color="000000" w:sz="8" w:space="0"/>
              <w:left w:val="nil"/>
              <w:bottom w:val="single" w:color="000000" w:sz="8" w:space="0"/>
              <w:right w:val="single" w:color="000000" w:sz="8" w:space="0"/>
            </w:tcBorders>
            <w:shd w:val="clear" w:color="auto" w:fill="auto"/>
            <w:vAlign w:val="center"/>
          </w:tcPr>
          <w:p w14:paraId="6169ADB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3477" w:type="dxa"/>
            <w:tcBorders>
              <w:top w:val="single" w:color="000000" w:sz="8" w:space="0"/>
              <w:left w:val="nil"/>
              <w:bottom w:val="nil"/>
              <w:right w:val="single" w:color="000000" w:sz="8" w:space="0"/>
            </w:tcBorders>
            <w:shd w:val="clear" w:color="auto" w:fill="auto"/>
            <w:vAlign w:val="center"/>
          </w:tcPr>
          <w:p w14:paraId="7E9C582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功能参数及技术参数</w:t>
            </w:r>
          </w:p>
        </w:tc>
        <w:tc>
          <w:tcPr>
            <w:tcW w:w="2826" w:type="dxa"/>
            <w:tcBorders>
              <w:top w:val="single" w:color="000000" w:sz="8" w:space="0"/>
              <w:left w:val="nil"/>
              <w:bottom w:val="single" w:color="000000" w:sz="8" w:space="0"/>
              <w:right w:val="single" w:color="000000" w:sz="8" w:space="0"/>
            </w:tcBorders>
            <w:shd w:val="clear" w:color="auto" w:fill="auto"/>
            <w:vAlign w:val="center"/>
          </w:tcPr>
          <w:p w14:paraId="24BDBF3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其他要求</w:t>
            </w:r>
          </w:p>
        </w:tc>
        <w:tc>
          <w:tcPr>
            <w:tcW w:w="644" w:type="dxa"/>
            <w:tcBorders>
              <w:top w:val="single" w:color="000000" w:sz="8" w:space="0"/>
              <w:left w:val="nil"/>
              <w:bottom w:val="single" w:color="000000" w:sz="8" w:space="0"/>
              <w:right w:val="single" w:color="000000" w:sz="8" w:space="0"/>
            </w:tcBorders>
            <w:shd w:val="clear" w:color="auto" w:fill="auto"/>
            <w:vAlign w:val="center"/>
          </w:tcPr>
          <w:p w14:paraId="532A0B7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86" w:type="dxa"/>
            <w:tcBorders>
              <w:top w:val="single" w:color="000000" w:sz="8" w:space="0"/>
              <w:left w:val="nil"/>
              <w:bottom w:val="nil"/>
              <w:right w:val="single" w:color="000000" w:sz="8" w:space="0"/>
            </w:tcBorders>
            <w:shd w:val="clear" w:color="auto" w:fill="auto"/>
            <w:vAlign w:val="center"/>
          </w:tcPr>
          <w:p w14:paraId="51776C1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最高限价（元/单位）</w:t>
            </w:r>
          </w:p>
        </w:tc>
        <w:tc>
          <w:tcPr>
            <w:tcW w:w="886" w:type="dxa"/>
            <w:tcBorders>
              <w:top w:val="single" w:color="000000" w:sz="8" w:space="0"/>
              <w:left w:val="nil"/>
              <w:bottom w:val="nil"/>
              <w:right w:val="single" w:color="000000" w:sz="8" w:space="0"/>
            </w:tcBorders>
            <w:shd w:val="clear" w:color="auto" w:fill="auto"/>
            <w:vAlign w:val="center"/>
          </w:tcPr>
          <w:p w14:paraId="3E7BDA6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预计年用量</w:t>
            </w:r>
          </w:p>
        </w:tc>
        <w:tc>
          <w:tcPr>
            <w:tcW w:w="651" w:type="dxa"/>
            <w:tcBorders>
              <w:top w:val="single" w:color="000000" w:sz="8" w:space="0"/>
              <w:left w:val="nil"/>
              <w:bottom w:val="single" w:color="000000" w:sz="8" w:space="0"/>
              <w:right w:val="single" w:color="000000" w:sz="8" w:space="0"/>
            </w:tcBorders>
            <w:shd w:val="clear" w:color="auto" w:fill="auto"/>
            <w:vAlign w:val="center"/>
          </w:tcPr>
          <w:p w14:paraId="76B2C8C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入围数量</w:t>
            </w:r>
          </w:p>
        </w:tc>
      </w:tr>
      <w:tr w14:paraId="525D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D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6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73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一维色谱柱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2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4.6×50mm，5μm</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C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1D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40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1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80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3480</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AC4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88C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122F">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2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8A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一维色谱柱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F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3.5×50mm，5μm</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8A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D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A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58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5A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3C11">
            <w:pPr>
              <w:jc w:val="center"/>
              <w:rPr>
                <w:rFonts w:hint="eastAsia" w:ascii="仿宋" w:hAnsi="仿宋" w:eastAsia="仿宋" w:cs="仿宋"/>
                <w:i w:val="0"/>
                <w:iCs w:val="0"/>
                <w:color w:val="000000"/>
                <w:sz w:val="21"/>
                <w:szCs w:val="21"/>
                <w:u w:val="none"/>
              </w:rPr>
            </w:pPr>
          </w:p>
        </w:tc>
      </w:tr>
      <w:tr w14:paraId="6F74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54A0">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2A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00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一维色谱柱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91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4.6×25mm,5μm</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7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8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E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2C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3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8E16">
            <w:pPr>
              <w:jc w:val="center"/>
              <w:rPr>
                <w:rFonts w:hint="eastAsia" w:ascii="仿宋" w:hAnsi="仿宋" w:eastAsia="仿宋" w:cs="仿宋"/>
                <w:i w:val="0"/>
                <w:iCs w:val="0"/>
                <w:color w:val="000000"/>
                <w:sz w:val="21"/>
                <w:szCs w:val="21"/>
                <w:u w:val="none"/>
              </w:rPr>
            </w:pPr>
          </w:p>
        </w:tc>
      </w:tr>
      <w:tr w14:paraId="707E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AFC">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91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5F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中间色谱柱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ED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4.6×20mm,5um</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C1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5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F2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9E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834A">
            <w:pPr>
              <w:jc w:val="center"/>
              <w:rPr>
                <w:rFonts w:hint="eastAsia" w:ascii="仿宋" w:hAnsi="仿宋" w:eastAsia="仿宋" w:cs="仿宋"/>
                <w:i w:val="0"/>
                <w:iCs w:val="0"/>
                <w:color w:val="000000"/>
                <w:sz w:val="21"/>
                <w:szCs w:val="21"/>
                <w:u w:val="none"/>
              </w:rPr>
            </w:pPr>
          </w:p>
        </w:tc>
      </w:tr>
      <w:tr w14:paraId="7C97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ECD7">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A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EA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中间色谱柱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98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3.5×10mm,5μm</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8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03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2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F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72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9120">
            <w:pPr>
              <w:jc w:val="center"/>
              <w:rPr>
                <w:rFonts w:hint="eastAsia" w:ascii="仿宋" w:hAnsi="仿宋" w:eastAsia="仿宋" w:cs="仿宋"/>
                <w:i w:val="0"/>
                <w:iCs w:val="0"/>
                <w:color w:val="000000"/>
                <w:sz w:val="21"/>
                <w:szCs w:val="21"/>
                <w:u w:val="none"/>
              </w:rPr>
            </w:pPr>
          </w:p>
        </w:tc>
      </w:tr>
      <w:tr w14:paraId="51DA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DD6E">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53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9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二通</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AC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二通</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4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E2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5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A2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6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A71BB">
            <w:pPr>
              <w:jc w:val="center"/>
              <w:rPr>
                <w:rFonts w:hint="eastAsia" w:ascii="仿宋" w:hAnsi="仿宋" w:eastAsia="仿宋" w:cs="仿宋"/>
                <w:i w:val="0"/>
                <w:iCs w:val="0"/>
                <w:color w:val="000000"/>
                <w:sz w:val="21"/>
                <w:szCs w:val="21"/>
                <w:u w:val="none"/>
              </w:rPr>
            </w:pPr>
          </w:p>
        </w:tc>
      </w:tr>
      <w:tr w14:paraId="425A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C476">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8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58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二维色谱柱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4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4.6×250mm,5μm</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A6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2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C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31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62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9CEC">
            <w:pPr>
              <w:jc w:val="center"/>
              <w:rPr>
                <w:rFonts w:hint="eastAsia" w:ascii="仿宋" w:hAnsi="仿宋" w:eastAsia="仿宋" w:cs="仿宋"/>
                <w:i w:val="0"/>
                <w:iCs w:val="0"/>
                <w:color w:val="000000"/>
                <w:sz w:val="21"/>
                <w:szCs w:val="21"/>
                <w:u w:val="none"/>
              </w:rPr>
            </w:pPr>
          </w:p>
        </w:tc>
      </w:tr>
      <w:tr w14:paraId="1C7F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B31D">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5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AE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二维色谱柱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CA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4.6×250mm,5μm</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04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E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C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2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B8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E375E">
            <w:pPr>
              <w:jc w:val="center"/>
              <w:rPr>
                <w:rFonts w:hint="eastAsia" w:ascii="仿宋" w:hAnsi="仿宋" w:eastAsia="仿宋" w:cs="仿宋"/>
                <w:i w:val="0"/>
                <w:iCs w:val="0"/>
                <w:color w:val="000000"/>
                <w:sz w:val="21"/>
                <w:szCs w:val="21"/>
                <w:u w:val="none"/>
              </w:rPr>
            </w:pPr>
          </w:p>
        </w:tc>
      </w:tr>
      <w:tr w14:paraId="45AF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3F69">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86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00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二维色谱柱</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6F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4.6×200mm,5μm</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80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C8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13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0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D1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2A8C">
            <w:pPr>
              <w:jc w:val="center"/>
              <w:rPr>
                <w:rFonts w:hint="eastAsia" w:ascii="仿宋" w:hAnsi="仿宋" w:eastAsia="仿宋" w:cs="仿宋"/>
                <w:i w:val="0"/>
                <w:iCs w:val="0"/>
                <w:color w:val="000000"/>
                <w:sz w:val="21"/>
                <w:szCs w:val="21"/>
                <w:u w:val="none"/>
              </w:rPr>
            </w:pPr>
          </w:p>
        </w:tc>
      </w:tr>
      <w:tr w14:paraId="1286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78A1">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E9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F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恒温混匀仪</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BB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QQMS-100</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BD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A2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AF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F6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4800">
            <w:pPr>
              <w:jc w:val="center"/>
              <w:rPr>
                <w:rFonts w:hint="eastAsia" w:ascii="仿宋" w:hAnsi="仿宋" w:eastAsia="仿宋" w:cs="仿宋"/>
                <w:i w:val="0"/>
                <w:iCs w:val="0"/>
                <w:color w:val="000000"/>
                <w:sz w:val="21"/>
                <w:szCs w:val="21"/>
                <w:u w:val="none"/>
              </w:rPr>
            </w:pPr>
          </w:p>
        </w:tc>
      </w:tr>
      <w:tr w14:paraId="3131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D1FC">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06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FD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95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蛋白沉淀剂</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CA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9F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A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31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5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B209">
            <w:pPr>
              <w:jc w:val="center"/>
              <w:rPr>
                <w:rFonts w:hint="eastAsia" w:ascii="仿宋" w:hAnsi="仿宋" w:eastAsia="仿宋" w:cs="仿宋"/>
                <w:i w:val="0"/>
                <w:iCs w:val="0"/>
                <w:color w:val="000000"/>
                <w:sz w:val="21"/>
                <w:szCs w:val="21"/>
                <w:u w:val="none"/>
              </w:rPr>
            </w:pPr>
          </w:p>
        </w:tc>
      </w:tr>
      <w:tr w14:paraId="11A5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9EE0">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E7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2A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样本萃取液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61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利福平流动相</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D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AF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28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6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17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E707">
            <w:pPr>
              <w:jc w:val="center"/>
              <w:rPr>
                <w:rFonts w:hint="eastAsia" w:ascii="仿宋" w:hAnsi="仿宋" w:eastAsia="仿宋" w:cs="仿宋"/>
                <w:i w:val="0"/>
                <w:iCs w:val="0"/>
                <w:color w:val="000000"/>
                <w:sz w:val="21"/>
                <w:szCs w:val="21"/>
                <w:u w:val="none"/>
              </w:rPr>
            </w:pPr>
          </w:p>
        </w:tc>
      </w:tr>
      <w:tr w14:paraId="7132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7AE9">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48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34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样本萃取液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7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利福平-2D流动相</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20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F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3B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D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0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345F">
            <w:pPr>
              <w:jc w:val="center"/>
              <w:rPr>
                <w:rFonts w:hint="eastAsia" w:ascii="仿宋" w:hAnsi="仿宋" w:eastAsia="仿宋" w:cs="仿宋"/>
                <w:i w:val="0"/>
                <w:iCs w:val="0"/>
                <w:color w:val="000000"/>
                <w:sz w:val="21"/>
                <w:szCs w:val="21"/>
                <w:u w:val="none"/>
              </w:rPr>
            </w:pPr>
          </w:p>
        </w:tc>
      </w:tr>
      <w:tr w14:paraId="1FF6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FEFE">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6A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C8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样本萃取液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4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吡嗪酰胺-1D流动相</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3A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4C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4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D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16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716F">
            <w:pPr>
              <w:jc w:val="center"/>
              <w:rPr>
                <w:rFonts w:hint="eastAsia" w:ascii="仿宋" w:hAnsi="仿宋" w:eastAsia="仿宋" w:cs="仿宋"/>
                <w:i w:val="0"/>
                <w:iCs w:val="0"/>
                <w:color w:val="000000"/>
                <w:sz w:val="21"/>
                <w:szCs w:val="21"/>
                <w:u w:val="none"/>
              </w:rPr>
            </w:pPr>
          </w:p>
        </w:tc>
      </w:tr>
      <w:tr w14:paraId="3663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7307">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B9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2B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样本萃取液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8A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异烟肼-1D流动相</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0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F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34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7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52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42377">
            <w:pPr>
              <w:jc w:val="center"/>
              <w:rPr>
                <w:rFonts w:hint="eastAsia" w:ascii="仿宋" w:hAnsi="仿宋" w:eastAsia="仿宋" w:cs="仿宋"/>
                <w:i w:val="0"/>
                <w:iCs w:val="0"/>
                <w:color w:val="000000"/>
                <w:sz w:val="21"/>
                <w:szCs w:val="21"/>
                <w:u w:val="none"/>
              </w:rPr>
            </w:pPr>
          </w:p>
        </w:tc>
      </w:tr>
      <w:tr w14:paraId="566B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37C4">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AA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5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样本萃取液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C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流动相</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D8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FD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B8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6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F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A56FA">
            <w:pPr>
              <w:jc w:val="center"/>
              <w:rPr>
                <w:rFonts w:hint="eastAsia" w:ascii="仿宋" w:hAnsi="仿宋" w:eastAsia="仿宋" w:cs="仿宋"/>
                <w:i w:val="0"/>
                <w:iCs w:val="0"/>
                <w:color w:val="000000"/>
                <w:sz w:val="21"/>
                <w:szCs w:val="21"/>
                <w:u w:val="none"/>
              </w:rPr>
            </w:pPr>
          </w:p>
        </w:tc>
      </w:tr>
      <w:tr w14:paraId="7B0C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86B5">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E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4D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样本萃取液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40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流动相</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DE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59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98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A7F95">
            <w:pPr>
              <w:jc w:val="center"/>
              <w:rPr>
                <w:rFonts w:hint="eastAsia" w:ascii="仿宋" w:hAnsi="仿宋" w:eastAsia="仿宋" w:cs="仿宋"/>
                <w:i w:val="0"/>
                <w:iCs w:val="0"/>
                <w:color w:val="000000"/>
                <w:sz w:val="21"/>
                <w:szCs w:val="21"/>
                <w:u w:val="none"/>
              </w:rPr>
            </w:pPr>
          </w:p>
        </w:tc>
      </w:tr>
      <w:tr w14:paraId="704F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011F">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A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A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利福平（调试液），5支/盒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5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43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EB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B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A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C289">
            <w:pPr>
              <w:jc w:val="center"/>
              <w:rPr>
                <w:rFonts w:hint="eastAsia" w:ascii="仿宋" w:hAnsi="仿宋" w:eastAsia="仿宋" w:cs="仿宋"/>
                <w:i w:val="0"/>
                <w:iCs w:val="0"/>
                <w:color w:val="000000"/>
                <w:sz w:val="21"/>
                <w:szCs w:val="21"/>
                <w:u w:val="none"/>
              </w:rPr>
            </w:pPr>
          </w:p>
        </w:tc>
      </w:tr>
      <w:tr w14:paraId="2FC2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FF68">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72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09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C5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利福平（质控品），3支/盒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CE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38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2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BE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1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9593">
            <w:pPr>
              <w:jc w:val="center"/>
              <w:rPr>
                <w:rFonts w:hint="eastAsia" w:ascii="仿宋" w:hAnsi="仿宋" w:eastAsia="仿宋" w:cs="仿宋"/>
                <w:i w:val="0"/>
                <w:iCs w:val="0"/>
                <w:color w:val="000000"/>
                <w:sz w:val="21"/>
                <w:szCs w:val="21"/>
                <w:u w:val="none"/>
              </w:rPr>
            </w:pPr>
          </w:p>
        </w:tc>
      </w:tr>
      <w:tr w14:paraId="1CC2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EC91">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CA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49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45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利福平（校准品），7支/盒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F0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5E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47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C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F4367">
            <w:pPr>
              <w:jc w:val="center"/>
              <w:rPr>
                <w:rFonts w:hint="eastAsia" w:ascii="仿宋" w:hAnsi="仿宋" w:eastAsia="仿宋" w:cs="仿宋"/>
                <w:i w:val="0"/>
                <w:iCs w:val="0"/>
                <w:color w:val="000000"/>
                <w:sz w:val="21"/>
                <w:szCs w:val="21"/>
                <w:u w:val="none"/>
              </w:rPr>
            </w:pPr>
          </w:p>
        </w:tc>
      </w:tr>
      <w:tr w14:paraId="1C06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EE9A">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8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75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6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吡嗪酰胺（调试液），5支/盒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60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B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F5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4B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27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7DAB">
            <w:pPr>
              <w:jc w:val="center"/>
              <w:rPr>
                <w:rFonts w:hint="eastAsia" w:ascii="仿宋" w:hAnsi="仿宋" w:eastAsia="仿宋" w:cs="仿宋"/>
                <w:i w:val="0"/>
                <w:iCs w:val="0"/>
                <w:color w:val="000000"/>
                <w:sz w:val="21"/>
                <w:szCs w:val="21"/>
                <w:u w:val="none"/>
              </w:rPr>
            </w:pPr>
          </w:p>
        </w:tc>
      </w:tr>
      <w:tr w14:paraId="1CDD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CFB8">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90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3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CF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吡嗪酰胺（质控品），3支/盒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6E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0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D0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0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D7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B762">
            <w:pPr>
              <w:jc w:val="center"/>
              <w:rPr>
                <w:rFonts w:hint="eastAsia" w:ascii="仿宋" w:hAnsi="仿宋" w:eastAsia="仿宋" w:cs="仿宋"/>
                <w:i w:val="0"/>
                <w:iCs w:val="0"/>
                <w:color w:val="000000"/>
                <w:sz w:val="21"/>
                <w:szCs w:val="21"/>
                <w:u w:val="none"/>
              </w:rPr>
            </w:pPr>
          </w:p>
        </w:tc>
      </w:tr>
      <w:tr w14:paraId="33D6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CA8B">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68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9A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55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吡嗪酰胺（校准品），7支/盒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4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6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0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5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7C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54E4">
            <w:pPr>
              <w:jc w:val="center"/>
              <w:rPr>
                <w:rFonts w:hint="eastAsia" w:ascii="仿宋" w:hAnsi="仿宋" w:eastAsia="仿宋" w:cs="仿宋"/>
                <w:i w:val="0"/>
                <w:iCs w:val="0"/>
                <w:color w:val="000000"/>
                <w:sz w:val="21"/>
                <w:szCs w:val="21"/>
                <w:u w:val="none"/>
              </w:rPr>
            </w:pPr>
          </w:p>
        </w:tc>
      </w:tr>
      <w:tr w14:paraId="1EAB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102B">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C5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9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71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甲氨蝶呤（调试液），5支/盒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B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B9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AF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5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02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910A6">
            <w:pPr>
              <w:jc w:val="center"/>
              <w:rPr>
                <w:rFonts w:hint="eastAsia" w:ascii="仿宋" w:hAnsi="仿宋" w:eastAsia="仿宋" w:cs="仿宋"/>
                <w:i w:val="0"/>
                <w:iCs w:val="0"/>
                <w:color w:val="000000"/>
                <w:sz w:val="21"/>
                <w:szCs w:val="21"/>
                <w:u w:val="none"/>
              </w:rPr>
            </w:pPr>
          </w:p>
        </w:tc>
      </w:tr>
      <w:tr w14:paraId="5E37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A0A7">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6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E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D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甲氨蝶呤（质控品），3支/盒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1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74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D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5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9DF1B">
            <w:pPr>
              <w:jc w:val="center"/>
              <w:rPr>
                <w:rFonts w:hint="eastAsia" w:ascii="仿宋" w:hAnsi="仿宋" w:eastAsia="仿宋" w:cs="仿宋"/>
                <w:i w:val="0"/>
                <w:iCs w:val="0"/>
                <w:color w:val="000000"/>
                <w:sz w:val="21"/>
                <w:szCs w:val="21"/>
                <w:u w:val="none"/>
              </w:rPr>
            </w:pPr>
          </w:p>
        </w:tc>
      </w:tr>
      <w:tr w14:paraId="04A7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6AB4">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BD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AE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A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甲氨蝶呤（校准品），7支/盒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2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AA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C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11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1A2A8">
            <w:pPr>
              <w:jc w:val="center"/>
              <w:rPr>
                <w:rFonts w:hint="eastAsia" w:ascii="仿宋" w:hAnsi="仿宋" w:eastAsia="仿宋" w:cs="仿宋"/>
                <w:i w:val="0"/>
                <w:iCs w:val="0"/>
                <w:color w:val="000000"/>
                <w:sz w:val="21"/>
                <w:szCs w:val="21"/>
                <w:u w:val="none"/>
              </w:rPr>
            </w:pPr>
          </w:p>
        </w:tc>
      </w:tr>
      <w:tr w14:paraId="3832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8897">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0F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20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B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异烟肼（调试液），5支/盒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7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EF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4D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9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DB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3369">
            <w:pPr>
              <w:jc w:val="center"/>
              <w:rPr>
                <w:rFonts w:hint="eastAsia" w:ascii="仿宋" w:hAnsi="仿宋" w:eastAsia="仿宋" w:cs="仿宋"/>
                <w:i w:val="0"/>
                <w:iCs w:val="0"/>
                <w:color w:val="000000"/>
                <w:sz w:val="21"/>
                <w:szCs w:val="21"/>
                <w:u w:val="none"/>
              </w:rPr>
            </w:pPr>
          </w:p>
        </w:tc>
      </w:tr>
      <w:tr w14:paraId="6557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08A">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7B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D6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7D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异烟肼（质控品），3支/盒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4D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82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3A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58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02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AC31">
            <w:pPr>
              <w:jc w:val="center"/>
              <w:rPr>
                <w:rFonts w:hint="eastAsia" w:ascii="仿宋" w:hAnsi="仿宋" w:eastAsia="仿宋" w:cs="仿宋"/>
                <w:i w:val="0"/>
                <w:iCs w:val="0"/>
                <w:color w:val="000000"/>
                <w:sz w:val="21"/>
                <w:szCs w:val="21"/>
                <w:u w:val="none"/>
              </w:rPr>
            </w:pPr>
          </w:p>
        </w:tc>
      </w:tr>
      <w:tr w14:paraId="442C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9148">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EB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5E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12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异烟肼（校准品），7支/盒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9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A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84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23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37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36EB6">
            <w:pPr>
              <w:jc w:val="center"/>
              <w:rPr>
                <w:rFonts w:hint="eastAsia" w:ascii="仿宋" w:hAnsi="仿宋" w:eastAsia="仿宋" w:cs="仿宋"/>
                <w:i w:val="0"/>
                <w:iCs w:val="0"/>
                <w:color w:val="000000"/>
                <w:sz w:val="21"/>
                <w:szCs w:val="21"/>
                <w:u w:val="none"/>
              </w:rPr>
            </w:pPr>
          </w:p>
        </w:tc>
      </w:tr>
      <w:tr w14:paraId="16EF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87E5">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E8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35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利福喷丁（调试液），5支/盒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54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DB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7D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E9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39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CF8B">
            <w:pPr>
              <w:jc w:val="center"/>
              <w:rPr>
                <w:rFonts w:hint="eastAsia" w:ascii="仿宋" w:hAnsi="仿宋" w:eastAsia="仿宋" w:cs="仿宋"/>
                <w:i w:val="0"/>
                <w:iCs w:val="0"/>
                <w:color w:val="000000"/>
                <w:sz w:val="21"/>
                <w:szCs w:val="21"/>
                <w:u w:val="none"/>
              </w:rPr>
            </w:pPr>
          </w:p>
        </w:tc>
      </w:tr>
      <w:tr w14:paraId="2EEB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52E1">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6D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8D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79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利福喷丁（质控品），3支/盒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E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0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D4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94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BC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D51F">
            <w:pPr>
              <w:jc w:val="center"/>
              <w:rPr>
                <w:rFonts w:hint="eastAsia" w:ascii="仿宋" w:hAnsi="仿宋" w:eastAsia="仿宋" w:cs="仿宋"/>
                <w:i w:val="0"/>
                <w:iCs w:val="0"/>
                <w:color w:val="000000"/>
                <w:sz w:val="21"/>
                <w:szCs w:val="21"/>
                <w:u w:val="none"/>
              </w:rPr>
            </w:pPr>
          </w:p>
        </w:tc>
      </w:tr>
      <w:tr w14:paraId="689F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C2C5">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3A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A8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利福喷丁（校准品），7支/盒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9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8E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B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F1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65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0885">
            <w:pPr>
              <w:jc w:val="center"/>
              <w:rPr>
                <w:rFonts w:hint="eastAsia" w:ascii="仿宋" w:hAnsi="仿宋" w:eastAsia="仿宋" w:cs="仿宋"/>
                <w:i w:val="0"/>
                <w:iCs w:val="0"/>
                <w:color w:val="000000"/>
                <w:sz w:val="21"/>
                <w:szCs w:val="21"/>
                <w:u w:val="none"/>
              </w:rPr>
            </w:pPr>
          </w:p>
        </w:tc>
      </w:tr>
      <w:tr w14:paraId="2365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7A87">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7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3D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样本萃取液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26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利奈唑胺（1D流动相）</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0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8C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2B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5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2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2084">
            <w:pPr>
              <w:jc w:val="center"/>
              <w:rPr>
                <w:rFonts w:hint="eastAsia" w:ascii="仿宋" w:hAnsi="仿宋" w:eastAsia="仿宋" w:cs="仿宋"/>
                <w:i w:val="0"/>
                <w:iCs w:val="0"/>
                <w:color w:val="000000"/>
                <w:sz w:val="21"/>
                <w:szCs w:val="21"/>
                <w:u w:val="none"/>
              </w:rPr>
            </w:pPr>
          </w:p>
        </w:tc>
      </w:tr>
      <w:tr w14:paraId="1E8D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4E51">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B3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6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样本萃取液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02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利奈唑胺（2D流动相）</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9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D4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E3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3E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5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C31A4">
            <w:pPr>
              <w:jc w:val="center"/>
              <w:rPr>
                <w:rFonts w:hint="eastAsia" w:ascii="仿宋" w:hAnsi="仿宋" w:eastAsia="仿宋" w:cs="仿宋"/>
                <w:i w:val="0"/>
                <w:iCs w:val="0"/>
                <w:color w:val="000000"/>
                <w:sz w:val="21"/>
                <w:szCs w:val="21"/>
                <w:u w:val="none"/>
              </w:rPr>
            </w:pPr>
          </w:p>
        </w:tc>
      </w:tr>
      <w:tr w14:paraId="0648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2A2C">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A3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A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3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利奈唑胺（调试液），5支/盒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8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F8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4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EA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DF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748E">
            <w:pPr>
              <w:jc w:val="center"/>
              <w:rPr>
                <w:rFonts w:hint="eastAsia" w:ascii="仿宋" w:hAnsi="仿宋" w:eastAsia="仿宋" w:cs="仿宋"/>
                <w:i w:val="0"/>
                <w:iCs w:val="0"/>
                <w:color w:val="000000"/>
                <w:sz w:val="21"/>
                <w:szCs w:val="21"/>
                <w:u w:val="none"/>
              </w:rPr>
            </w:pPr>
          </w:p>
        </w:tc>
      </w:tr>
      <w:tr w14:paraId="3D9F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E5B8">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8E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4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4A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利奈唑胺（质控品），3支/盒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F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8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0F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B5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6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2315">
            <w:pPr>
              <w:jc w:val="center"/>
              <w:rPr>
                <w:rFonts w:hint="eastAsia" w:ascii="仿宋" w:hAnsi="仿宋" w:eastAsia="仿宋" w:cs="仿宋"/>
                <w:i w:val="0"/>
                <w:iCs w:val="0"/>
                <w:color w:val="000000"/>
                <w:sz w:val="21"/>
                <w:szCs w:val="21"/>
                <w:u w:val="none"/>
              </w:rPr>
            </w:pPr>
          </w:p>
        </w:tc>
      </w:tr>
      <w:tr w14:paraId="2F4E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629F">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FC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0F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样本释放剂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70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利奈唑胺（校准品），7支/盒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F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用于抗结核药物TDM</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A3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用于全自动二维液相色谱仪使用（型号：MLC-2420）品牌：德米特生产厂家：湖南德米特仪器有限公司</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D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D2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F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F335">
            <w:pPr>
              <w:jc w:val="center"/>
              <w:rPr>
                <w:rFonts w:hint="eastAsia" w:ascii="仿宋" w:hAnsi="仿宋" w:eastAsia="仿宋" w:cs="仿宋"/>
                <w:i w:val="0"/>
                <w:iCs w:val="0"/>
                <w:color w:val="000000"/>
                <w:sz w:val="21"/>
                <w:szCs w:val="21"/>
                <w:u w:val="none"/>
              </w:rPr>
            </w:pPr>
          </w:p>
        </w:tc>
      </w:tr>
      <w:tr w14:paraId="03F7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68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DF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1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样本稀释液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6F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1瓶/盒 （50ml/瓶）</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5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F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7F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2D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3B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CB8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3F7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4B37">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8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3D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C8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2*500ml/瓶   </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DD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7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7F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9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2D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B944">
            <w:pPr>
              <w:jc w:val="center"/>
              <w:rPr>
                <w:rFonts w:hint="eastAsia" w:ascii="仿宋" w:hAnsi="仿宋" w:eastAsia="仿宋" w:cs="仿宋"/>
                <w:i w:val="0"/>
                <w:iCs w:val="0"/>
                <w:color w:val="000000"/>
                <w:sz w:val="21"/>
                <w:szCs w:val="21"/>
                <w:u w:val="none"/>
              </w:rPr>
            </w:pPr>
          </w:p>
        </w:tc>
      </w:tr>
      <w:tr w14:paraId="479C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FCB0">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A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D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清洗液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11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清洗分离型（2*500ml/瓶） </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72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D1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8B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3D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1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7634">
            <w:pPr>
              <w:jc w:val="center"/>
              <w:rPr>
                <w:rFonts w:hint="eastAsia" w:ascii="仿宋" w:hAnsi="仿宋" w:eastAsia="仿宋" w:cs="仿宋"/>
                <w:i w:val="0"/>
                <w:iCs w:val="0"/>
                <w:color w:val="000000"/>
                <w:sz w:val="21"/>
                <w:szCs w:val="21"/>
                <w:u w:val="none"/>
              </w:rPr>
            </w:pPr>
          </w:p>
        </w:tc>
      </w:tr>
      <w:tr w14:paraId="1444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5CD3">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BC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1B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全自动免疫检验系统用底物液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2瓶/盒（缓冲液1 500ml/瓶*1瓶  缓冲液2 500ml/瓶*1瓶）</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BC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40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B8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A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9E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6EA4">
            <w:pPr>
              <w:jc w:val="center"/>
              <w:rPr>
                <w:rFonts w:hint="eastAsia" w:ascii="仿宋" w:hAnsi="仿宋" w:eastAsia="仿宋" w:cs="仿宋"/>
                <w:i w:val="0"/>
                <w:iCs w:val="0"/>
                <w:color w:val="000000"/>
                <w:sz w:val="21"/>
                <w:szCs w:val="21"/>
                <w:u w:val="none"/>
              </w:rPr>
            </w:pPr>
          </w:p>
        </w:tc>
      </w:tr>
      <w:tr w14:paraId="0791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9C24">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C2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AC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反应杯</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2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PCS/盒 </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9A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2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89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3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1A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6FFF">
            <w:pPr>
              <w:jc w:val="center"/>
              <w:rPr>
                <w:rFonts w:hint="eastAsia" w:ascii="仿宋" w:hAnsi="仿宋" w:eastAsia="仿宋" w:cs="仿宋"/>
                <w:i w:val="0"/>
                <w:iCs w:val="0"/>
                <w:color w:val="000000"/>
                <w:sz w:val="21"/>
                <w:szCs w:val="21"/>
                <w:u w:val="none"/>
              </w:rPr>
            </w:pPr>
          </w:p>
        </w:tc>
      </w:tr>
      <w:tr w14:paraId="7F4C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1965">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9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5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强化清洗液2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09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500ml（2瓶/盒）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4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7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16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B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B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6037">
            <w:pPr>
              <w:jc w:val="center"/>
              <w:rPr>
                <w:rFonts w:hint="eastAsia" w:ascii="仿宋" w:hAnsi="仿宋" w:eastAsia="仿宋" w:cs="仿宋"/>
                <w:i w:val="0"/>
                <w:iCs w:val="0"/>
                <w:color w:val="000000"/>
                <w:sz w:val="21"/>
                <w:szCs w:val="21"/>
                <w:u w:val="none"/>
              </w:rPr>
            </w:pPr>
          </w:p>
        </w:tc>
      </w:tr>
      <w:tr w14:paraId="67BB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F365">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F5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E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HBsAg非定值质控品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15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3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2F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E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73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91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A023">
            <w:pPr>
              <w:jc w:val="center"/>
              <w:rPr>
                <w:rFonts w:hint="eastAsia" w:ascii="仿宋" w:hAnsi="仿宋" w:eastAsia="仿宋" w:cs="仿宋"/>
                <w:i w:val="0"/>
                <w:iCs w:val="0"/>
                <w:color w:val="000000"/>
                <w:sz w:val="21"/>
                <w:szCs w:val="21"/>
                <w:u w:val="none"/>
              </w:rPr>
            </w:pPr>
          </w:p>
        </w:tc>
      </w:tr>
      <w:tr w14:paraId="0AEA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A012">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96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5B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Anti-HBs非定值质控品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1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DF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31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72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65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17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7275">
            <w:pPr>
              <w:jc w:val="center"/>
              <w:rPr>
                <w:rFonts w:hint="eastAsia" w:ascii="仿宋" w:hAnsi="仿宋" w:eastAsia="仿宋" w:cs="仿宋"/>
                <w:i w:val="0"/>
                <w:iCs w:val="0"/>
                <w:color w:val="000000"/>
                <w:sz w:val="21"/>
                <w:szCs w:val="21"/>
                <w:u w:val="none"/>
              </w:rPr>
            </w:pPr>
          </w:p>
        </w:tc>
      </w:tr>
      <w:tr w14:paraId="4D0E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8F8A">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44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7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HBeAg 非定值质控品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C6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91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2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B3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42F1">
            <w:pPr>
              <w:jc w:val="center"/>
              <w:rPr>
                <w:rFonts w:hint="eastAsia" w:ascii="仿宋" w:hAnsi="仿宋" w:eastAsia="仿宋" w:cs="仿宋"/>
                <w:i w:val="0"/>
                <w:iCs w:val="0"/>
                <w:color w:val="000000"/>
                <w:sz w:val="21"/>
                <w:szCs w:val="21"/>
                <w:u w:val="none"/>
              </w:rPr>
            </w:pPr>
          </w:p>
        </w:tc>
      </w:tr>
      <w:tr w14:paraId="756D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EFE9">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F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34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Anti-HBe 非定值质控品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59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F3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17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EC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FC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D5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31EF">
            <w:pPr>
              <w:jc w:val="center"/>
              <w:rPr>
                <w:rFonts w:hint="eastAsia" w:ascii="仿宋" w:hAnsi="仿宋" w:eastAsia="仿宋" w:cs="仿宋"/>
                <w:i w:val="0"/>
                <w:iCs w:val="0"/>
                <w:color w:val="000000"/>
                <w:sz w:val="21"/>
                <w:szCs w:val="21"/>
                <w:u w:val="none"/>
              </w:rPr>
            </w:pPr>
          </w:p>
        </w:tc>
      </w:tr>
      <w:tr w14:paraId="5998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F373">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9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C1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Anti-HBc 非定值质控品</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2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2套/盒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C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乙肝两对半-全自动免疫定量分析试剂配套耗材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7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适用于全自动化学发光免疫分析仪，设备品牌：长光华医，型号：AE-240</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E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B7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1524</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7686">
            <w:pPr>
              <w:jc w:val="center"/>
              <w:rPr>
                <w:rFonts w:hint="eastAsia" w:ascii="仿宋" w:hAnsi="仿宋" w:eastAsia="仿宋" w:cs="仿宋"/>
                <w:i w:val="0"/>
                <w:iCs w:val="0"/>
                <w:color w:val="000000"/>
                <w:sz w:val="21"/>
                <w:szCs w:val="21"/>
                <w:u w:val="none"/>
              </w:rPr>
            </w:pPr>
          </w:p>
        </w:tc>
      </w:tr>
      <w:tr w14:paraId="3CED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B5D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F5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6C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DAB染色液（optiview）</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CC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8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OptiView 过氧化物酶抑制剂、OptiView HO通用连接剂、OptiView HRP标记的小分子多聚体(Multimer )OptiView双氧水、OptiView DAB、OptiView 硫酸铜，主要用于免疫组织化学染色的显色</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3C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伴随抗体（辅助试剂）适用于罗氏品牌Benchmark ULTRA PLUS/BenchmarkXT机型</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DA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2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4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22400</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888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306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AF5C">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05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DAB增强染色液</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B1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32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与DAB染色液联合使用，用于增加小鼠和家兔一抗的染色强度</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BB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伴随抗体（辅助试剂）适用于罗氏品牌Benchmark ULTRA PLUS/BenchmarkXT机型</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05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D0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1774">
            <w:pPr>
              <w:jc w:val="center"/>
              <w:rPr>
                <w:rFonts w:hint="eastAsia" w:ascii="仿宋" w:hAnsi="仿宋" w:eastAsia="仿宋" w:cs="仿宋"/>
                <w:i w:val="0"/>
                <w:iCs w:val="0"/>
                <w:color w:val="000000"/>
                <w:sz w:val="21"/>
                <w:szCs w:val="21"/>
                <w:u w:val="none"/>
              </w:rPr>
            </w:pPr>
          </w:p>
        </w:tc>
      </w:tr>
      <w:tr w14:paraId="43A1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223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4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5B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兔单克隆阴性质控抗体</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D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该产品用于福尔马林固定、石蜡包埋组织切片内兔免疫球蛋白非特异性结合的质控</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9C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伴随抗体（辅助试剂）</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7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3A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7B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2840</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2FB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E66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A2E9">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E3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14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抗广谱TRK（EPR17341）兔单克隆抗体试剂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A8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80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兔抗人抗广谱原肌球蛋白受体激酶（TRK)单克隆单体试剂（克隆号：EPR17341.含有载体蛋白和叠氮钠（防腐剂）的Tris缓冲盐溶液.EDTA.Brij-35组成。在常规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5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2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74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A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CB3B3">
            <w:pPr>
              <w:jc w:val="center"/>
              <w:rPr>
                <w:rFonts w:hint="eastAsia" w:ascii="仿宋" w:hAnsi="仿宋" w:eastAsia="仿宋" w:cs="仿宋"/>
                <w:i w:val="0"/>
                <w:iCs w:val="0"/>
                <w:color w:val="000000"/>
                <w:sz w:val="21"/>
                <w:szCs w:val="21"/>
                <w:u w:val="none"/>
              </w:rPr>
            </w:pPr>
          </w:p>
        </w:tc>
      </w:tr>
      <w:tr w14:paraId="0B44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5347">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82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99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抗PD-L1抗体检测试剂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E3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用于定性检测福尔马林固定、石蜡包埋的组织切片中的PD-L1蛋白。PD-L1高表达用于替雷利珠单抗注射液(百泽安®)的伴随诊断检测，适用于PD-L1高表达的含铂化疗失败包括新辅助或辅助化疗12个月内进展的局部晚期或转移性尿路上皮癌的治疗</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1C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1E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1C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9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93C0">
            <w:pPr>
              <w:jc w:val="center"/>
              <w:rPr>
                <w:rFonts w:hint="eastAsia" w:ascii="仿宋" w:hAnsi="仿宋" w:eastAsia="仿宋" w:cs="仿宋"/>
                <w:i w:val="0"/>
                <w:iCs w:val="0"/>
                <w:color w:val="000000"/>
                <w:sz w:val="21"/>
                <w:szCs w:val="21"/>
                <w:u w:val="none"/>
              </w:rPr>
            </w:pPr>
          </w:p>
        </w:tc>
      </w:tr>
      <w:tr w14:paraId="1306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3527">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D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1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C-MET抗体试剂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7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18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免单克隆抗体,在常规染色(如:配染色)基础上进行免疫组织化学染色，为医师提供诊断的辅助信息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2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D9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D7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F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7976">
            <w:pPr>
              <w:jc w:val="center"/>
              <w:rPr>
                <w:rFonts w:hint="eastAsia" w:ascii="仿宋" w:hAnsi="仿宋" w:eastAsia="仿宋" w:cs="仿宋"/>
                <w:i w:val="0"/>
                <w:iCs w:val="0"/>
                <w:color w:val="000000"/>
                <w:sz w:val="21"/>
                <w:szCs w:val="21"/>
                <w:u w:val="none"/>
              </w:rPr>
            </w:pPr>
          </w:p>
        </w:tc>
      </w:tr>
      <w:tr w14:paraId="5955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455A">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A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2F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抗BRAF抗体试剂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E8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9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产品含有约60ug的小鼠单克隆抗体，在常规染色(如:HE染色)基础上进行免疫组织化学染色，为医师提供诊断的辅助信息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AB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D8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E6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57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A236">
            <w:pPr>
              <w:jc w:val="center"/>
              <w:rPr>
                <w:rFonts w:hint="eastAsia" w:ascii="仿宋" w:hAnsi="仿宋" w:eastAsia="仿宋" w:cs="仿宋"/>
                <w:i w:val="0"/>
                <w:iCs w:val="0"/>
                <w:color w:val="000000"/>
                <w:sz w:val="21"/>
                <w:szCs w:val="21"/>
                <w:u w:val="none"/>
              </w:rPr>
            </w:pPr>
          </w:p>
        </w:tc>
      </w:tr>
      <w:tr w14:paraId="4DA9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0E74">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D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8D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抗ALK(D5F3兔单克隆抗体试剂)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2E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该产品用于定性检测福尔马林固定、石蜡包埋的非小细胞肺癌(NSCLC)组织上的间变型淋巴瘤激酶(ALK)蛋白。该产品在中国境内未与具体药物联合进行临床试验，在原产国与药物联合进行了临床试验</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45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0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EC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7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80AC">
            <w:pPr>
              <w:jc w:val="center"/>
              <w:rPr>
                <w:rFonts w:hint="eastAsia" w:ascii="仿宋" w:hAnsi="仿宋" w:eastAsia="仿宋" w:cs="仿宋"/>
                <w:i w:val="0"/>
                <w:iCs w:val="0"/>
                <w:color w:val="000000"/>
                <w:sz w:val="21"/>
                <w:szCs w:val="21"/>
                <w:u w:val="none"/>
              </w:rPr>
            </w:pPr>
          </w:p>
        </w:tc>
      </w:tr>
      <w:tr w14:paraId="4987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7A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74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3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Gastrin抗体试剂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5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30人/盒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17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免单克隆抗体,在常规染色(如:配染色)基础上进行免疫组织化学染色，为医师提供诊断的辅助信息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BB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EC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31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2C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288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DE65">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9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CE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P57抗体试剂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1A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30人/盒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77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免单克隆抗体,在常规染色(如:配染色)基础上进行免疫组织化学染色，为医师提供诊断的辅助信息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5F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1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2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2B53">
            <w:pPr>
              <w:jc w:val="center"/>
              <w:rPr>
                <w:rFonts w:hint="eastAsia" w:ascii="仿宋" w:hAnsi="仿宋" w:eastAsia="仿宋" w:cs="仿宋"/>
                <w:i w:val="0"/>
                <w:iCs w:val="0"/>
                <w:color w:val="000000"/>
                <w:sz w:val="21"/>
                <w:szCs w:val="21"/>
                <w:u w:val="none"/>
              </w:rPr>
            </w:pPr>
          </w:p>
        </w:tc>
      </w:tr>
      <w:tr w14:paraId="3AF9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C0F4">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C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77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TRPS1抗体试剂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25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30人/盒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F6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免单克隆抗体,在常规染色(如:配染色)基础上进行免疫组织化学染色，为医师提供诊断的辅助信息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12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4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1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BB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1576</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A780">
            <w:pPr>
              <w:jc w:val="center"/>
              <w:rPr>
                <w:rFonts w:hint="eastAsia" w:ascii="仿宋" w:hAnsi="仿宋" w:eastAsia="仿宋" w:cs="仿宋"/>
                <w:i w:val="0"/>
                <w:iCs w:val="0"/>
                <w:color w:val="000000"/>
                <w:sz w:val="21"/>
                <w:szCs w:val="21"/>
                <w:u w:val="none"/>
              </w:rPr>
            </w:pPr>
          </w:p>
        </w:tc>
      </w:tr>
      <w:tr w14:paraId="2D14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4EB4">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8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62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富含AT序列特异性结合蛋白2（SATB2）抗体试剂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54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30人/盒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4A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免单克隆抗体,在常规染色(如:配染色)基础上进行免疫组织化学染色，为医师提供诊断的辅助信息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E9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F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A2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3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189B">
            <w:pPr>
              <w:jc w:val="center"/>
              <w:rPr>
                <w:rFonts w:hint="eastAsia" w:ascii="仿宋" w:hAnsi="仿宋" w:eastAsia="仿宋" w:cs="仿宋"/>
                <w:i w:val="0"/>
                <w:iCs w:val="0"/>
                <w:color w:val="000000"/>
                <w:sz w:val="21"/>
                <w:szCs w:val="21"/>
                <w:u w:val="none"/>
              </w:rPr>
            </w:pPr>
          </w:p>
        </w:tc>
      </w:tr>
      <w:tr w14:paraId="2432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8FC6">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8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A8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Villin（微管素）抗体试剂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7B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30人/盒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D0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免单克隆抗体,在常规染色(如:配染色)基础上进行免疫组织化学染色，为医师提供诊断的辅助信息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5D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A4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F7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42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F4479">
            <w:pPr>
              <w:jc w:val="center"/>
              <w:rPr>
                <w:rFonts w:hint="eastAsia" w:ascii="仿宋" w:hAnsi="仿宋" w:eastAsia="仿宋" w:cs="仿宋"/>
                <w:i w:val="0"/>
                <w:iCs w:val="0"/>
                <w:color w:val="000000"/>
                <w:sz w:val="21"/>
                <w:szCs w:val="21"/>
                <w:u w:val="none"/>
              </w:rPr>
            </w:pPr>
          </w:p>
        </w:tc>
      </w:tr>
      <w:tr w14:paraId="4A28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31035">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7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SDHB抗体试剂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6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30人/盒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78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免单克隆抗体,在常规染色(如:配染色)基础上进行免疫组织化学染色，为医师提供诊断的辅助信息</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2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伴随抗体</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2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BC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1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18444">
            <w:pPr>
              <w:jc w:val="center"/>
              <w:rPr>
                <w:rFonts w:hint="eastAsia" w:ascii="仿宋" w:hAnsi="仿宋" w:eastAsia="仿宋" w:cs="仿宋"/>
                <w:i w:val="0"/>
                <w:iCs w:val="0"/>
                <w:color w:val="000000"/>
                <w:sz w:val="21"/>
                <w:szCs w:val="21"/>
                <w:u w:val="none"/>
              </w:rPr>
            </w:pPr>
          </w:p>
        </w:tc>
      </w:tr>
      <w:tr w14:paraId="6280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16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76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C4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细胞块制备试剂盒</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1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25人份/盒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F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用于胸腹水、细胞穿刺、尿液、痰液、子宫内膜、宫颈脱落细胞、脑髓液等采集到的微标本、体液标本制作细胞块。临床上用于病理检测前的样本处理。</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E66B">
            <w:pPr>
              <w:jc w:val="center"/>
              <w:rPr>
                <w:rFonts w:hint="eastAsia" w:ascii="仿宋" w:hAnsi="仿宋" w:eastAsia="仿宋" w:cs="仿宋"/>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5E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CE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2250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A1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3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3B2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9"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94E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FA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2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人类BRAF基因V600E突变检测试剂盒(荧光PCR法)</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5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42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1、用于定性检测人类黑色素瘤、大肠癌、甲状腺癌、肺癌石蜡包埋组织样本的DNA提取物中的BRAF V600E突变。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2、试剂盒获得三类医疗器械注册证，检测时间小于90分钟，可以耐受10ng野生型人类基因组DNA，无非特异，可以检出10ngDNA样品中含量低至1%的BRAF基因V600E突变，适用于市场上大部分机型和开放型耗材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CA87">
            <w:pPr>
              <w:jc w:val="center"/>
              <w:rPr>
                <w:rFonts w:hint="eastAsia" w:ascii="仿宋" w:hAnsi="仿宋" w:eastAsia="仿宋" w:cs="仿宋"/>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F5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E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E7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10800</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61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FCE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45A2">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E6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F1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人类KRAS/NRAS/PIK3CA /BRAF突变基因联合检测试剂盒(荧光PCR法）</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0C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 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7C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用于定性检测结直肠癌患者样本DNA中人类KRAS基因第2、3、4外显子上12种体细胞热点突变、人类NRAS基因第2和3外显子上3种热点体细胞突变、人类PIK3CA基因20号外显子的H1047R热点体细胞突变和人类BRAF基因15号外显子的V600E热点突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2、试剂盒获得三类医疗器械注册证，方法学：荧光PCR法，可以检出10ng DNA样品中含量低至1%的KRAS/NRAS/PIK3CA/BRAF基因突变，10ng野生型人类基因组DNA无非特异反应，试剂盒与HRAS基因之间无交叉反应，试剂融化后无浑浊、无沉淀，适用于市场上大部分机型和开放型耗材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3884">
            <w:pPr>
              <w:jc w:val="center"/>
              <w:rPr>
                <w:rFonts w:hint="eastAsia" w:ascii="仿宋" w:hAnsi="仿宋" w:eastAsia="仿宋" w:cs="仿宋"/>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17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3A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9CA8">
            <w:pPr>
              <w:jc w:val="center"/>
              <w:rPr>
                <w:rFonts w:hint="eastAsia" w:ascii="仿宋" w:hAnsi="仿宋" w:eastAsia="仿宋" w:cs="仿宋"/>
                <w:i w:val="0"/>
                <w:iCs w:val="0"/>
                <w:color w:val="000000"/>
                <w:sz w:val="21"/>
                <w:szCs w:val="21"/>
                <w:u w:val="none"/>
              </w:rPr>
            </w:pPr>
          </w:p>
        </w:tc>
      </w:tr>
      <w:tr w14:paraId="4069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45C02">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B0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09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人类EGFR/ALK/ROS1突变基因联合检测试剂盒(荧光PCR法)</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2F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 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91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1、以非小细胞肺癌(NSCLC)福尔马林固定石蜡包埋(FFPE)样本DNA和RNA为检测对象，用于体外定性检测样本中EGFR、ALK和ROS1基因的热点突变。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2、试剂盒获得三类医疗器械注册证，方法学：荧光PCR法，对7.5~15ng FFPE样本DNA中含有1%的EGFR基因突变和0.09~4.5ug FFPE样本RNA中含有450 copies的ALK基因融合、ROSI基因融合装甲RNA均可准确检出，试剂盒覆盖范围内的所有突变类型间不存在交叉反应，试剂盒与HER2基因突变、RET基因融合之间无交叉反应，试剂融化后无浑浊、无沉淀，适用于市场上大部分机型和开放型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FDA7">
            <w:pPr>
              <w:jc w:val="center"/>
              <w:rPr>
                <w:rFonts w:hint="eastAsia" w:ascii="仿宋" w:hAnsi="仿宋" w:eastAsia="仿宋" w:cs="仿宋"/>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D8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53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39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44CD">
            <w:pPr>
              <w:jc w:val="center"/>
              <w:rPr>
                <w:rFonts w:hint="eastAsia" w:ascii="仿宋" w:hAnsi="仿宋" w:eastAsia="仿宋" w:cs="仿宋"/>
                <w:i w:val="0"/>
                <w:iCs w:val="0"/>
                <w:color w:val="000000"/>
                <w:sz w:val="21"/>
                <w:szCs w:val="21"/>
                <w:u w:val="none"/>
              </w:rPr>
            </w:pPr>
          </w:p>
        </w:tc>
      </w:tr>
      <w:tr w14:paraId="1158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497E">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4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62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5种突变基因检测试剂盒(荧光PCR法)</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2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 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E1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1、以非小细胞肺癌(NSCLC)福尔马林固定石蜡包埋(FFPE)样本DNA和RNA为检测对象，用于体外定性检测样本中EGFR、ALK和ROS1基因的热点突变。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剂盒获得三类医疗器械注册证，方法学：荧光PCR法，试剂盒覆盖范围内的所有突变类型间不存在交叉反应，与核酸序列同源性较高的野生型、其他常见突变类型和其他常见突变基因之间均无交叉反应，融合扩增体系均可以耐受500 ng/uL及以下的野生型RNA，突变扩增体系均可以耐受10ng及以下的野生型DNA，本试剂盒对7.5~15ng FFPE样本DNA中含有1%的基因突变和0.09~4.5ug FEPE样本RNA中含有450拷贝的基因融合装甲RNA均可准确检出，试剂融化后无浑浊、无沉淀，适用于市场上大部分机型和开放型耗材</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55FE">
            <w:pPr>
              <w:jc w:val="center"/>
              <w:rPr>
                <w:rFonts w:hint="eastAsia" w:ascii="仿宋" w:hAnsi="仿宋" w:eastAsia="仿宋" w:cs="仿宋"/>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9C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5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15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499A">
            <w:pPr>
              <w:jc w:val="center"/>
              <w:rPr>
                <w:rFonts w:hint="eastAsia" w:ascii="仿宋" w:hAnsi="仿宋" w:eastAsia="仿宋" w:cs="仿宋"/>
                <w:i w:val="0"/>
                <w:iCs w:val="0"/>
                <w:color w:val="000000"/>
                <w:sz w:val="21"/>
                <w:szCs w:val="21"/>
                <w:u w:val="none"/>
              </w:rPr>
            </w:pPr>
          </w:p>
        </w:tc>
      </w:tr>
      <w:tr w14:paraId="1222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2969">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A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DA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PD-L1抗体试剂(免疫组织化学法)</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86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6ml/瓶</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3B9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用于体外定性检测经10%中性缓冲福尔马林固定石蜡包埋（FFPE）非小细胞肺癌（NSCLC)组织切片中PD-L1蛋白的表达情况，辅助鉴别可使用KEYTRUDA®（pembrolizumab帕博利珠单抗）治疗的NSCLC患者，可用作KEYTRUDA®的伴随诊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2、试剂盒获得三类医疗器械注册证，试剂类型：国产试剂，样本要求：新鲜活检或外科手术样本的石蜡包埋组织切片，组织切片厚度3~5μm，蜡块样本保存时间未超过4年，灵敏度：1%。</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AE75">
            <w:pPr>
              <w:jc w:val="center"/>
              <w:rPr>
                <w:rFonts w:hint="eastAsia" w:ascii="仿宋" w:hAnsi="仿宋" w:eastAsia="仿宋" w:cs="仿宋"/>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67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38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3C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33D0">
            <w:pPr>
              <w:jc w:val="center"/>
              <w:rPr>
                <w:rFonts w:hint="eastAsia" w:ascii="仿宋" w:hAnsi="仿宋" w:eastAsia="仿宋" w:cs="仿宋"/>
                <w:i w:val="0"/>
                <w:iCs w:val="0"/>
                <w:color w:val="000000"/>
                <w:sz w:val="21"/>
                <w:szCs w:val="21"/>
                <w:u w:val="none"/>
              </w:rPr>
            </w:pPr>
          </w:p>
        </w:tc>
      </w:tr>
      <w:tr w14:paraId="207E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BFA9">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4F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D0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人类微卫星不稳定性（MSI）检测试剂盒（荧光PCR-毛细管电泳法）</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E3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48E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本产品用于体外定性检测实体瘤患者福尔马林固定石蜡包埋(FFPE)组织样本DNA的微卫星不稳定性(MSI)状态，MSI状态通过检测5个单核苷酸重复标志物进行判定，5个单核苷酸标志物为BAT-26、BAT-25、MONO-27、NR-24和C AT-25。本产品用于替雷利珠单抗的伴随诊断。</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1B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新增开展PCR肿瘤相关基因检测项目：甲状腺癌BRAF，肺癌EGFR，肠癌KRAS，MSI等。</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4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6D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19200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DACB">
            <w:pPr>
              <w:jc w:val="center"/>
              <w:rPr>
                <w:rFonts w:hint="eastAsia" w:ascii="仿宋" w:hAnsi="仿宋" w:eastAsia="仿宋" w:cs="仿宋"/>
                <w:i w:val="0"/>
                <w:iCs w:val="0"/>
                <w:color w:val="000000"/>
                <w:sz w:val="21"/>
                <w:szCs w:val="21"/>
                <w:u w:val="none"/>
              </w:rPr>
            </w:pPr>
          </w:p>
        </w:tc>
      </w:tr>
      <w:tr w14:paraId="79EB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F121">
            <w:pPr>
              <w:jc w:val="center"/>
              <w:rPr>
                <w:rFonts w:hint="eastAsia" w:ascii="仿宋" w:hAnsi="仿宋" w:eastAsia="仿宋" w:cs="仿宋"/>
                <w:i w:val="0"/>
                <w:iCs w:val="0"/>
                <w:color w:val="000000"/>
                <w:sz w:val="21"/>
                <w:szCs w:val="21"/>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85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75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核酸提取试剂</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B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 测试/盒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B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1、用于核酸的提取、富集、纯化等步骤。其处理后的产物用于临床体外检测使用。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2、获得医疗器械备案凭证，采用高效组织裂解缓冲系统和DNA修复系统，结合硅胶模吸附柱技术快速高效的提取样本中的DNA，避光常温储存</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CE76">
            <w:pPr>
              <w:jc w:val="center"/>
              <w:rPr>
                <w:rFonts w:hint="eastAsia" w:ascii="仿宋" w:hAnsi="仿宋" w:eastAsia="仿宋" w:cs="仿宋"/>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E8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F4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2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408240</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BD9B">
            <w:pPr>
              <w:jc w:val="center"/>
              <w:rPr>
                <w:rFonts w:hint="eastAsia" w:ascii="仿宋" w:hAnsi="仿宋" w:eastAsia="仿宋" w:cs="仿宋"/>
                <w:i w:val="0"/>
                <w:iCs w:val="0"/>
                <w:color w:val="000000"/>
                <w:sz w:val="21"/>
                <w:szCs w:val="21"/>
                <w:u w:val="none"/>
              </w:rPr>
            </w:pPr>
          </w:p>
        </w:tc>
      </w:tr>
      <w:tr w14:paraId="2FA3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97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FE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9E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12项细胞因子检测试剂盒（多重微球流式免疫荧光发光法）</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4F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100人份/盒</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F0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1、判断机体所处的炎症反应及免疫状态，为疾病的辅助诊断、用药及预后干预提供重要临床诊疗依据。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2、试剂盒应包括：12项细胞因子检测试剂盒；测定方法为流式细胞仪多重微球流式免疫荧光发光法。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3、试剂盒需具备药监局注册证。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4、提供配套校准品。校准品具备单独的中国医疗器械(体外诊断试剂)二类注册证。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5、试剂盒效期：有效期≧2年，拆封后效期≥30天。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6、检测原理中具有生物素-链霉亲和素信号放大系统。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7、12项细胞因子线性范围：2.44-10000pg/mL。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8、精密度：变异系数CV值≤15%。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9、准确性：将2个浓度点的参考品作为样本按照说明书的步骤进行检测，其测量结果相对偏差应当在理论值的±5%范围内。</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F0D3">
            <w:pPr>
              <w:jc w:val="center"/>
              <w:rPr>
                <w:rFonts w:hint="eastAsia" w:ascii="仿宋" w:hAnsi="仿宋" w:eastAsia="仿宋" w:cs="仿宋"/>
                <w:i w:val="0"/>
                <w:iCs w:val="0"/>
                <w:color w:val="000000"/>
                <w:sz w:val="21"/>
                <w:szCs w:val="21"/>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5E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3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35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140000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F1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bl>
    <w:p w14:paraId="5A4291C7">
      <w:pPr>
        <w:widowControl/>
        <w:shd w:val="clear"/>
        <w:adjustRightInd w:val="0"/>
        <w:snapToGrid w:val="0"/>
        <w:spacing w:line="240" w:lineRule="auto"/>
        <w:ind w:firstLine="480" w:firstLineChars="200"/>
        <w:rPr>
          <w:rFonts w:hint="eastAsia" w:ascii="仿宋" w:hAnsi="仿宋" w:eastAsia="仿宋" w:cs="仿宋"/>
          <w:color w:val="000000" w:themeColor="text1"/>
          <w:sz w:val="22"/>
          <w:szCs w:val="20"/>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2"/>
          <w:szCs w:val="20"/>
          <w:highlight w:val="none"/>
          <w:lang w:val="en-US" w:eastAsia="zh-CN"/>
          <w14:textFill>
            <w14:solidFill>
              <w14:schemeClr w14:val="tx1"/>
            </w14:solidFill>
          </w14:textFill>
        </w:rPr>
        <w:t>注：</w:t>
      </w:r>
      <w:r>
        <w:rPr>
          <w:rFonts w:hint="eastAsia" w:ascii="仿宋" w:hAnsi="仿宋" w:eastAsia="仿宋" w:cs="仿宋"/>
          <w:color w:val="000000" w:themeColor="text1"/>
          <w:sz w:val="22"/>
          <w:szCs w:val="20"/>
          <w:highlight w:val="none"/>
          <w14:textFill>
            <w14:solidFill>
              <w14:schemeClr w14:val="tx1"/>
            </w14:solidFill>
          </w14:textFill>
        </w:rPr>
        <w:t>1、本项目按“</w:t>
      </w:r>
      <w:r>
        <w:rPr>
          <w:rFonts w:hint="eastAsia" w:ascii="仿宋" w:hAnsi="仿宋" w:eastAsia="仿宋" w:cs="仿宋"/>
          <w:color w:val="000000" w:themeColor="text1"/>
          <w:sz w:val="22"/>
          <w:szCs w:val="20"/>
          <w:highlight w:val="none"/>
          <w:lang w:val="en-US" w:eastAsia="zh-CN"/>
          <w14:textFill>
            <w14:solidFill>
              <w14:schemeClr w14:val="tx1"/>
            </w14:solidFill>
          </w14:textFill>
        </w:rPr>
        <w:t>包号</w:t>
      </w:r>
      <w:r>
        <w:rPr>
          <w:rFonts w:hint="eastAsia" w:ascii="仿宋" w:hAnsi="仿宋" w:eastAsia="仿宋" w:cs="仿宋"/>
          <w:color w:val="000000" w:themeColor="text1"/>
          <w:sz w:val="22"/>
          <w:szCs w:val="20"/>
          <w:highlight w:val="none"/>
          <w14:textFill>
            <w14:solidFill>
              <w14:schemeClr w14:val="tx1"/>
            </w14:solidFill>
          </w14:textFill>
        </w:rPr>
        <w:t>”确定入围供应商。符合条件的供应商可以参与多个</w:t>
      </w:r>
      <w:r>
        <w:rPr>
          <w:rFonts w:hint="eastAsia" w:ascii="仿宋" w:hAnsi="仿宋" w:eastAsia="仿宋" w:cs="仿宋"/>
          <w:color w:val="000000" w:themeColor="text1"/>
          <w:sz w:val="22"/>
          <w:szCs w:val="20"/>
          <w:highlight w:val="none"/>
          <w:lang w:val="en-US" w:eastAsia="zh-CN"/>
          <w14:textFill>
            <w14:solidFill>
              <w14:schemeClr w14:val="tx1"/>
            </w14:solidFill>
          </w14:textFill>
        </w:rPr>
        <w:t>包号</w:t>
      </w:r>
      <w:r>
        <w:rPr>
          <w:rFonts w:hint="eastAsia" w:ascii="仿宋" w:hAnsi="仿宋" w:eastAsia="仿宋" w:cs="仿宋"/>
          <w:color w:val="000000" w:themeColor="text1"/>
          <w:sz w:val="22"/>
          <w:szCs w:val="20"/>
          <w:highlight w:val="none"/>
          <w14:textFill>
            <w14:solidFill>
              <w14:schemeClr w14:val="tx1"/>
            </w14:solidFill>
          </w14:textFill>
        </w:rPr>
        <w:t>的</w:t>
      </w:r>
      <w:r>
        <w:rPr>
          <w:rFonts w:hint="eastAsia" w:ascii="仿宋" w:hAnsi="仿宋" w:eastAsia="仿宋" w:cs="仿宋"/>
          <w:color w:val="000000" w:themeColor="text1"/>
          <w:sz w:val="22"/>
          <w:szCs w:val="20"/>
          <w:highlight w:val="none"/>
          <w:lang w:val="en-US" w:eastAsia="zh-CN"/>
          <w14:textFill>
            <w14:solidFill>
              <w14:schemeClr w14:val="tx1"/>
            </w14:solidFill>
          </w14:textFill>
        </w:rPr>
        <w:t>申报</w:t>
      </w:r>
      <w:r>
        <w:rPr>
          <w:rFonts w:hint="eastAsia" w:ascii="仿宋" w:hAnsi="仿宋" w:eastAsia="仿宋" w:cs="仿宋"/>
          <w:color w:val="000000" w:themeColor="text1"/>
          <w:sz w:val="22"/>
          <w:szCs w:val="20"/>
          <w:highlight w:val="none"/>
          <w14:textFill>
            <w14:solidFill>
              <w14:schemeClr w14:val="tx1"/>
            </w14:solidFill>
          </w14:textFill>
        </w:rPr>
        <w:t>。供应商</w:t>
      </w:r>
      <w:r>
        <w:rPr>
          <w:rFonts w:hint="eastAsia" w:ascii="仿宋" w:hAnsi="仿宋" w:eastAsia="仿宋" w:cs="仿宋"/>
          <w:color w:val="000000" w:themeColor="text1"/>
          <w:sz w:val="22"/>
          <w:szCs w:val="20"/>
          <w:highlight w:val="none"/>
          <w:lang w:val="en-US" w:eastAsia="zh-CN"/>
          <w14:textFill>
            <w14:solidFill>
              <w14:schemeClr w14:val="tx1"/>
            </w14:solidFill>
          </w14:textFill>
        </w:rPr>
        <w:t>必须对包内所有目录进行响应</w:t>
      </w:r>
      <w:r>
        <w:rPr>
          <w:rFonts w:hint="eastAsia" w:ascii="仿宋" w:hAnsi="仿宋" w:eastAsia="仿宋" w:cs="仿宋"/>
          <w:color w:val="000000" w:themeColor="text1"/>
          <w:sz w:val="22"/>
          <w:szCs w:val="20"/>
          <w:highlight w:val="none"/>
          <w14:textFill>
            <w14:solidFill>
              <w14:schemeClr w14:val="tx1"/>
            </w14:solidFill>
          </w14:textFill>
        </w:rPr>
        <w:t>，否则</w:t>
      </w:r>
      <w:r>
        <w:rPr>
          <w:rFonts w:hint="eastAsia" w:ascii="仿宋" w:hAnsi="仿宋" w:eastAsia="仿宋" w:cs="仿宋"/>
          <w:b w:val="0"/>
          <w:bCs w:val="0"/>
          <w:color w:val="000000" w:themeColor="text1"/>
          <w:sz w:val="22"/>
          <w:szCs w:val="20"/>
          <w:highlight w:val="none"/>
          <w14:textFill>
            <w14:solidFill>
              <w14:schemeClr w14:val="tx1"/>
            </w14:solidFill>
          </w14:textFill>
        </w:rPr>
        <w:t>响应无效</w:t>
      </w:r>
      <w:r>
        <w:rPr>
          <w:rFonts w:hint="eastAsia" w:ascii="仿宋" w:hAnsi="仿宋" w:eastAsia="仿宋" w:cs="仿宋"/>
          <w:b w:val="0"/>
          <w:bCs w:val="0"/>
          <w:color w:val="000000" w:themeColor="text1"/>
          <w:sz w:val="22"/>
          <w:szCs w:val="20"/>
          <w:highlight w:val="none"/>
          <w:lang w:eastAsia="zh-CN"/>
          <w14:textFill>
            <w14:solidFill>
              <w14:schemeClr w14:val="tx1"/>
            </w14:solidFill>
          </w14:textFill>
        </w:rPr>
        <w:t>。</w:t>
      </w:r>
    </w:p>
    <w:p w14:paraId="2DEEF137">
      <w:pPr>
        <w:widowControl/>
        <w:adjustRightInd w:val="0"/>
        <w:snapToGrid w:val="0"/>
        <w:spacing w:line="240" w:lineRule="auto"/>
        <w:ind w:firstLine="0" w:firstLineChars="0"/>
        <w:rPr>
          <w:rFonts w:hint="eastAsia" w:ascii="仿宋" w:hAnsi="仿宋" w:eastAsia="仿宋" w:cs="仿宋"/>
          <w:b w:val="0"/>
          <w:color w:val="000000" w:themeColor="text1"/>
          <w:sz w:val="22"/>
          <w:szCs w:val="20"/>
          <w:highlight w:val="none"/>
          <w14:textFill>
            <w14:solidFill>
              <w14:schemeClr w14:val="tx1"/>
            </w14:solidFill>
          </w14:textFill>
        </w:rPr>
      </w:pPr>
      <w:r>
        <w:rPr>
          <w:rFonts w:hint="eastAsia" w:ascii="仿宋" w:hAnsi="仿宋" w:eastAsia="仿宋" w:cs="仿宋"/>
          <w:b w:val="0"/>
          <w:color w:val="000000" w:themeColor="text1"/>
          <w:sz w:val="22"/>
          <w:szCs w:val="20"/>
          <w:highlight w:val="none"/>
          <w:lang w:val="en-US" w:eastAsia="zh-CN"/>
          <w14:textFill>
            <w14:solidFill>
              <w14:schemeClr w14:val="tx1"/>
            </w14:solidFill>
          </w14:textFill>
        </w:rPr>
        <w:t>2</w:t>
      </w:r>
      <w:r>
        <w:rPr>
          <w:rFonts w:hint="eastAsia" w:ascii="仿宋" w:hAnsi="仿宋" w:eastAsia="仿宋" w:cs="仿宋"/>
          <w:b w:val="0"/>
          <w:color w:val="000000" w:themeColor="text1"/>
          <w:sz w:val="22"/>
          <w:szCs w:val="20"/>
          <w:highlight w:val="none"/>
          <w14:textFill>
            <w14:solidFill>
              <w14:schemeClr w14:val="tx1"/>
            </w14:solidFill>
          </w14:textFill>
        </w:rPr>
        <w:t>、供应商对同一目录</w:t>
      </w:r>
      <w:r>
        <w:rPr>
          <w:rFonts w:hint="eastAsia" w:ascii="仿宋" w:hAnsi="仿宋" w:eastAsia="仿宋" w:cs="仿宋"/>
          <w:b w:val="0"/>
          <w:color w:val="000000" w:themeColor="text1"/>
          <w:sz w:val="22"/>
          <w:szCs w:val="20"/>
          <w:highlight w:val="none"/>
          <w:lang w:val="en-US" w:eastAsia="zh-CN"/>
          <w14:textFill>
            <w14:solidFill>
              <w14:schemeClr w14:val="tx1"/>
            </w14:solidFill>
          </w14:textFill>
        </w:rPr>
        <w:t>序号</w:t>
      </w:r>
      <w:r>
        <w:rPr>
          <w:rFonts w:hint="eastAsia" w:ascii="仿宋" w:hAnsi="仿宋" w:eastAsia="仿宋" w:cs="仿宋"/>
          <w:b w:val="0"/>
          <w:color w:val="000000" w:themeColor="text1"/>
          <w:sz w:val="22"/>
          <w:szCs w:val="20"/>
          <w:highlight w:val="none"/>
          <w14:textFill>
            <w14:solidFill>
              <w14:schemeClr w14:val="tx1"/>
            </w14:solidFill>
          </w14:textFill>
        </w:rPr>
        <w:t>只能选择一个品牌进行申报（同一包号内允许多品牌申报），否则取消该包号的入围资格。</w:t>
      </w:r>
    </w:p>
    <w:p w14:paraId="7EB76FAE">
      <w:pPr>
        <w:keepNext w:val="0"/>
        <w:keepLines w:val="0"/>
        <w:widowControl/>
        <w:suppressLineNumbers w:val="0"/>
        <w:pBdr>
          <w:top w:val="none" w:color="auto" w:sz="0" w:space="0"/>
          <w:left w:val="none" w:color="auto" w:sz="0" w:space="0"/>
          <w:right w:val="none" w:color="auto" w:sz="0" w:space="0"/>
          <w:between w:val="none" w:color="auto" w:sz="0" w:space="0"/>
        </w:pBdr>
        <w:shd w:val="clear" w:fill="FFFFFF"/>
        <w:adjustRightInd w:val="0"/>
        <w:snapToGrid w:val="0"/>
        <w:spacing w:before="156" w:beforeAutospacing="0" w:after="0" w:afterAutospacing="0" w:line="240" w:lineRule="auto"/>
        <w:ind w:left="0" w:right="0" w:firstLine="0"/>
        <w:jc w:val="both"/>
        <w:rPr>
          <w:rFonts w:hint="eastAsia" w:ascii="仿宋" w:hAnsi="仿宋" w:eastAsia="仿宋" w:cs="仿宋"/>
          <w:b w:val="0"/>
          <w:color w:val="000000" w:themeColor="text1"/>
          <w:sz w:val="22"/>
          <w:szCs w:val="20"/>
          <w:highlight w:val="none"/>
          <w14:textFill>
            <w14:solidFill>
              <w14:schemeClr w14:val="tx1"/>
            </w14:solidFill>
          </w14:textFill>
        </w:rPr>
      </w:pPr>
      <w:r>
        <w:rPr>
          <w:rFonts w:hint="eastAsia" w:ascii="仿宋" w:hAnsi="仿宋" w:eastAsia="仿宋" w:cs="仿宋"/>
          <w:b w:val="0"/>
          <w:color w:val="000000" w:themeColor="text1"/>
          <w:sz w:val="22"/>
          <w:szCs w:val="20"/>
          <w:highlight w:val="none"/>
          <w:lang w:val="en-US" w:eastAsia="zh-CN"/>
          <w14:textFill>
            <w14:solidFill>
              <w14:schemeClr w14:val="tx1"/>
            </w14:solidFill>
          </w14:textFill>
        </w:rPr>
        <w:t>3</w:t>
      </w:r>
      <w:r>
        <w:rPr>
          <w:rFonts w:hint="eastAsia" w:ascii="仿宋" w:hAnsi="仿宋" w:eastAsia="仿宋" w:cs="仿宋"/>
          <w:b w:val="0"/>
          <w:color w:val="000000" w:themeColor="text1"/>
          <w:sz w:val="22"/>
          <w:szCs w:val="20"/>
          <w:highlight w:val="none"/>
          <w14:textFill>
            <w14:solidFill>
              <w14:schemeClr w14:val="tx1"/>
            </w14:solidFill>
          </w14:textFill>
        </w:rPr>
        <w:t>、供应商提交的产品偏离了该包采购要求的，将取消该供应商在这一包内的入围资格。</w:t>
      </w:r>
    </w:p>
    <w:p w14:paraId="6117B78C">
      <w:pPr>
        <w:keepNext w:val="0"/>
        <w:keepLines w:val="0"/>
        <w:widowControl/>
        <w:suppressLineNumbers w:val="0"/>
        <w:pBdr>
          <w:top w:val="none" w:color="auto" w:sz="0" w:space="0"/>
          <w:left w:val="none" w:color="auto" w:sz="0" w:space="0"/>
          <w:right w:val="none" w:color="auto" w:sz="0" w:space="0"/>
          <w:between w:val="none" w:color="auto" w:sz="0" w:space="0"/>
        </w:pBdr>
        <w:shd w:val="clear" w:fill="FFFFFF"/>
        <w:adjustRightInd w:val="0"/>
        <w:snapToGrid w:val="0"/>
        <w:spacing w:before="156" w:beforeAutospacing="0" w:after="0" w:afterAutospacing="0" w:line="240" w:lineRule="auto"/>
        <w:ind w:left="0" w:right="0" w:firstLine="0"/>
        <w:jc w:val="both"/>
        <w:rPr>
          <w:rFonts w:hint="eastAsia" w:ascii="仿宋" w:hAnsi="仿宋" w:eastAsia="仿宋" w:cs="仿宋"/>
          <w:color w:val="000000" w:themeColor="text1"/>
          <w:sz w:val="22"/>
          <w:szCs w:val="20"/>
          <w:highlight w:val="none"/>
          <w14:textFill>
            <w14:solidFill>
              <w14:schemeClr w14:val="tx1"/>
            </w14:solidFill>
          </w14:textFill>
        </w:rPr>
      </w:pPr>
      <w:r>
        <w:rPr>
          <w:rFonts w:hint="eastAsia" w:ascii="仿宋" w:hAnsi="仿宋" w:eastAsia="仿宋" w:cs="仿宋"/>
          <w:b w:val="0"/>
          <w:color w:val="000000" w:themeColor="text1"/>
          <w:sz w:val="22"/>
          <w:szCs w:val="20"/>
          <w:highlight w:val="none"/>
          <w:lang w:val="en-US" w:eastAsia="zh-CN"/>
          <w14:textFill>
            <w14:solidFill>
              <w14:schemeClr w14:val="tx1"/>
            </w14:solidFill>
          </w14:textFill>
        </w:rPr>
        <w:t>4、</w:t>
      </w:r>
      <w:r>
        <w:rPr>
          <w:rFonts w:hint="eastAsia" w:ascii="仿宋" w:hAnsi="仿宋" w:eastAsia="仿宋" w:cs="仿宋"/>
          <w:color w:val="000000" w:themeColor="text1"/>
          <w:sz w:val="22"/>
          <w:szCs w:val="20"/>
          <w:highlight w:val="none"/>
          <w:shd w:val="clear" w:fill="FFFFFF"/>
          <w14:textFill>
            <w14:solidFill>
              <w14:schemeClr w14:val="tx1"/>
            </w14:solidFill>
          </w14:textFill>
        </w:rPr>
        <w:t xml:space="preserve">供应商进行产品报价时，采购平台内一条产品只能填一个规格型号，同一注册证下有几个规格型号就填几条产品，必须分开填写。 </w:t>
      </w:r>
    </w:p>
    <w:p w14:paraId="3A57EFD0">
      <w:pPr>
        <w:keepNext w:val="0"/>
        <w:keepLines w:val="0"/>
        <w:widowControl/>
        <w:suppressLineNumbers w:val="0"/>
        <w:pBdr>
          <w:top w:val="none" w:color="auto" w:sz="0" w:space="0"/>
          <w:left w:val="none" w:color="auto" w:sz="0" w:space="0"/>
          <w:right w:val="none" w:color="auto" w:sz="0" w:space="0"/>
          <w:between w:val="none" w:color="auto" w:sz="0" w:space="0"/>
        </w:pBdr>
        <w:adjustRightInd w:val="0"/>
        <w:snapToGrid w:val="0"/>
        <w:spacing w:before="0" w:beforeAutospacing="0" w:after="0" w:afterAutospacing="0" w:line="240" w:lineRule="auto"/>
        <w:jc w:val="both"/>
        <w:rPr>
          <w:rFonts w:hint="eastAsia" w:ascii="仿宋" w:hAnsi="仿宋" w:eastAsia="仿宋" w:cs="仿宋"/>
          <w:color w:val="000000" w:themeColor="text1"/>
          <w:sz w:val="22"/>
          <w:szCs w:val="20"/>
          <w:highlight w:val="none"/>
          <w14:textFill>
            <w14:solidFill>
              <w14:schemeClr w14:val="tx1"/>
            </w14:solidFill>
          </w14:textFill>
        </w:rPr>
      </w:pPr>
      <w:r>
        <w:rPr>
          <w:rFonts w:hint="eastAsia" w:ascii="仿宋" w:hAnsi="仿宋" w:eastAsia="仿宋" w:cs="仿宋"/>
          <w:color w:val="000000" w:themeColor="text1"/>
          <w:sz w:val="22"/>
          <w:szCs w:val="20"/>
          <w:highlight w:val="none"/>
          <w14:textFill>
            <w14:solidFill>
              <w14:schemeClr w14:val="tx1"/>
            </w14:solidFill>
          </w14:textFill>
        </w:rPr>
        <w:t>（例：注册证 A：规格型号 A、B、C、D，若供应商选择全部规格型号参与响应，则分为 4 条产品填写；若选择 3 个规格型号参与响应，则分为 3 条产品填写）</w:t>
      </w:r>
    </w:p>
    <w:p w14:paraId="25AC288D">
      <w:pPr>
        <w:shd w:val="clear"/>
        <w:adjustRightInd w:val="0"/>
        <w:snapToGrid w:val="0"/>
        <w:spacing w:before="156" w:beforeLines="50" w:line="240" w:lineRule="auto"/>
        <w:ind w:firstLine="0" w:firstLineChars="0"/>
        <w:rPr>
          <w:rFonts w:hint="eastAsia" w:ascii="仿宋" w:hAnsi="仿宋" w:eastAsia="仿宋" w:cs="仿宋"/>
          <w:b/>
          <w:color w:val="000000" w:themeColor="text1"/>
          <w:sz w:val="22"/>
          <w:szCs w:val="22"/>
          <w:highlight w:val="none"/>
          <w14:textFill>
            <w14:solidFill>
              <w14:schemeClr w14:val="tx1"/>
            </w14:solidFill>
          </w14:textFill>
        </w:rPr>
      </w:pPr>
      <w:r>
        <w:rPr>
          <w:rFonts w:hint="eastAsia" w:ascii="仿宋" w:hAnsi="仿宋" w:eastAsia="仿宋" w:cs="仿宋"/>
          <w:b/>
          <w:color w:val="000000" w:themeColor="text1"/>
          <w:sz w:val="22"/>
          <w:szCs w:val="22"/>
          <w:highlight w:val="none"/>
          <w14:textFill>
            <w14:solidFill>
              <w14:schemeClr w14:val="tx1"/>
            </w14:solidFill>
          </w14:textFill>
        </w:rPr>
        <w:t>★</w:t>
      </w:r>
      <w:r>
        <w:rPr>
          <w:rFonts w:hint="eastAsia" w:ascii="仿宋" w:hAnsi="仿宋" w:eastAsia="仿宋" w:cs="仿宋"/>
          <w:b/>
          <w:color w:val="000000" w:themeColor="text1"/>
          <w:szCs w:val="21"/>
          <w:highlight w:val="none"/>
          <w:lang w:val="en-US" w:eastAsia="zh-CN"/>
          <w14:textFill>
            <w14:solidFill>
              <w14:schemeClr w14:val="tx1"/>
            </w14:solidFill>
          </w14:textFill>
        </w:rPr>
        <w:t>5</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 w:val="22"/>
          <w:szCs w:val="22"/>
          <w:highlight w:val="none"/>
          <w14:textFill>
            <w14:solidFill>
              <w14:schemeClr w14:val="tx1"/>
            </w14:solidFill>
          </w14:textFill>
        </w:rPr>
        <w:t>所有遴选产品价格不高于</w:t>
      </w:r>
      <w:r>
        <w:rPr>
          <w:rFonts w:hint="eastAsia" w:ascii="仿宋" w:hAnsi="仿宋" w:eastAsia="仿宋" w:cs="仿宋"/>
          <w:b/>
          <w:bCs/>
          <w:color w:val="000000" w:themeColor="text1"/>
          <w:szCs w:val="21"/>
          <w:highlight w:val="none"/>
          <w:lang w:eastAsia="zh-CN"/>
          <w14:textFill>
            <w14:solidFill>
              <w14:schemeClr w14:val="tx1"/>
            </w14:solidFill>
          </w14:textFill>
        </w:rPr>
        <w:t>湖南省药品和医用耗材招采管理子系统</w:t>
      </w:r>
      <w:r>
        <w:rPr>
          <w:rFonts w:hint="eastAsia" w:ascii="仿宋" w:hAnsi="仿宋" w:eastAsia="仿宋" w:cs="仿宋"/>
          <w:b/>
          <w:bCs/>
          <w:color w:val="000000" w:themeColor="text1"/>
          <w:szCs w:val="21"/>
          <w:highlight w:val="none"/>
          <w14:textFill>
            <w14:solidFill>
              <w14:schemeClr w14:val="tx1"/>
            </w14:solidFill>
          </w14:textFill>
        </w:rPr>
        <w:t>挂网</w:t>
      </w:r>
      <w:r>
        <w:rPr>
          <w:rFonts w:hint="eastAsia" w:ascii="仿宋" w:hAnsi="仿宋" w:eastAsia="仿宋" w:cs="仿宋"/>
          <w:b/>
          <w:bCs/>
          <w:color w:val="000000" w:themeColor="text1"/>
          <w:szCs w:val="21"/>
          <w:highlight w:val="none"/>
          <w:lang w:val="en-US" w:eastAsia="zh-CN"/>
          <w14:textFill>
            <w14:solidFill>
              <w14:schemeClr w14:val="tx1"/>
            </w14:solidFill>
          </w14:textFill>
        </w:rPr>
        <w:t>价</w:t>
      </w:r>
      <w:r>
        <w:rPr>
          <w:rFonts w:hint="eastAsia" w:ascii="仿宋" w:hAnsi="仿宋" w:eastAsia="仿宋" w:cs="仿宋"/>
          <w:b/>
          <w:color w:val="000000" w:themeColor="text1"/>
          <w:sz w:val="22"/>
          <w:szCs w:val="22"/>
          <w:highlight w:val="none"/>
          <w14:textFill>
            <w14:solidFill>
              <w14:schemeClr w14:val="tx1"/>
            </w14:solidFill>
          </w14:textFill>
        </w:rPr>
        <w:t>和最高限价两者中的低值，否则其报价无效。</w:t>
      </w:r>
    </w:p>
    <w:p w14:paraId="7E671342">
      <w:pPr>
        <w:widowControl/>
        <w:numPr>
          <w:ilvl w:val="-1"/>
          <w:numId w:val="0"/>
        </w:numPr>
        <w:pBdr>
          <w:top w:val="none" w:color="auto" w:sz="0" w:space="0"/>
          <w:left w:val="none" w:color="auto" w:sz="0" w:space="0"/>
          <w:right w:val="none" w:color="auto" w:sz="0" w:space="0"/>
          <w:between w:val="none" w:color="auto" w:sz="0" w:space="0"/>
        </w:pBdr>
        <w:adjustRightInd w:val="0"/>
        <w:snapToGrid w:val="0"/>
        <w:spacing w:line="360" w:lineRule="auto"/>
        <w:rPr>
          <w:rFonts w:hint="eastAsia" w:ascii="仿宋" w:hAnsi="仿宋" w:eastAsia="仿宋" w:cs="仿宋"/>
          <w:i w:val="0"/>
          <w:iCs w:val="0"/>
          <w:color w:val="000000" w:themeColor="text1"/>
          <w:kern w:val="2"/>
          <w:sz w:val="22"/>
          <w:szCs w:val="20"/>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2"/>
          <w:sz w:val="22"/>
          <w:szCs w:val="20"/>
          <w:highlight w:val="none"/>
          <w:u w:val="none"/>
          <w:lang w:val="en-US" w:eastAsia="zh-CN" w:bidi="ar"/>
          <w14:textFill>
            <w14:solidFill>
              <w14:schemeClr w14:val="tx1"/>
            </w14:solidFill>
          </w14:textFill>
        </w:rPr>
        <w:t>6、各包号目录名称对应的规格型号仅作为参考，各供应商应根据实际所投产品的规格型号进行申报。</w:t>
      </w:r>
    </w:p>
    <w:p w14:paraId="3A2138A1">
      <w:pPr>
        <w:widowControl/>
        <w:pBdr>
          <w:top w:val="none" w:color="auto" w:sz="0" w:space="0"/>
          <w:left w:val="none" w:color="auto" w:sz="0" w:space="0"/>
          <w:right w:val="none" w:color="auto" w:sz="0" w:space="0"/>
          <w:between w:val="none" w:color="auto" w:sz="0" w:space="0"/>
        </w:pBdr>
        <w:shd w:val="clear" w:fill="FFFFFF"/>
        <w:adjustRightInd w:val="0"/>
        <w:snapToGrid w:val="0"/>
        <w:spacing w:before="156" w:beforeLines="-2147483648"/>
        <w:ind w:firstLine="0" w:firstLineChars="0"/>
        <w:rPr>
          <w:rFonts w:hint="eastAsia" w:ascii="仿宋" w:hAnsi="仿宋" w:eastAsia="仿宋" w:cs="仿宋"/>
          <w:b w:val="0"/>
          <w:bCs w:val="0"/>
          <w:color w:val="000000" w:themeColor="text1"/>
          <w:sz w:val="22"/>
          <w:szCs w:val="20"/>
          <w:highlight w:val="none"/>
          <w14:textFill>
            <w14:solidFill>
              <w14:schemeClr w14:val="tx1"/>
            </w14:solidFill>
          </w14:textFill>
        </w:rPr>
      </w:pPr>
    </w:p>
    <w:p w14:paraId="3D51B6F8">
      <w:pPr>
        <w:widowControl/>
        <w:adjustRightInd w:val="0"/>
        <w:snapToGrid w:val="0"/>
        <w:spacing w:line="360" w:lineRule="auto"/>
        <w:ind w:firstLine="0" w:firstLineChars="0"/>
        <w:jc w:val="left"/>
        <w:rPr>
          <w:rFonts w:hint="eastAsia" w:ascii="仿宋" w:hAnsi="仿宋" w:eastAsia="仿宋" w:cs="仿宋"/>
          <w:b w:val="0"/>
          <w:bCs w:val="0"/>
          <w:color w:val="000000" w:themeColor="text1"/>
          <w:sz w:val="24"/>
          <w:szCs w:val="21"/>
          <w:highlight w:val="none"/>
          <w14:textFill>
            <w14:solidFill>
              <w14:schemeClr w14:val="tx1"/>
            </w14:solidFill>
          </w14:textFill>
        </w:rPr>
        <w:sectPr>
          <w:headerReference r:id="rId5" w:type="default"/>
          <w:footerReference r:id="rId6" w:type="default"/>
          <w:pgSz w:w="16838" w:h="11906" w:orient="landscape"/>
          <w:pgMar w:top="1800" w:right="1440" w:bottom="1800" w:left="1440" w:header="851" w:footer="992" w:gutter="0"/>
          <w:pgNumType w:fmt="decimal"/>
          <w:cols w:space="720" w:num="1"/>
          <w:docGrid w:type="lines" w:linePitch="312" w:charSpace="0"/>
        </w:sectPr>
      </w:pPr>
      <w:r>
        <w:rPr>
          <w:rFonts w:hint="eastAsia" w:ascii="仿宋" w:hAnsi="仿宋" w:eastAsia="仿宋" w:cs="仿宋"/>
          <w:color w:val="000000" w:themeColor="text1"/>
          <w:sz w:val="24"/>
          <w:highlight w:val="none"/>
          <w14:textFill>
            <w14:solidFill>
              <w14:schemeClr w14:val="tx1"/>
            </w14:solidFill>
          </w14:textFill>
        </w:rPr>
        <w:br w:type="page"/>
      </w:r>
    </w:p>
    <w:p w14:paraId="2C5765A6">
      <w:pPr>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textWrapping"/>
      </w:r>
      <w:r>
        <w:rPr>
          <w:rFonts w:hint="eastAsia" w:ascii="仿宋" w:hAnsi="仿宋" w:eastAsia="仿宋" w:cs="仿宋"/>
          <w:b/>
          <w:bCs/>
          <w:color w:val="000000" w:themeColor="text1"/>
          <w:sz w:val="28"/>
          <w:szCs w:val="28"/>
          <w:highlight w:val="none"/>
          <w14:textFill>
            <w14:solidFill>
              <w14:schemeClr w14:val="tx1"/>
            </w14:solidFill>
          </w14:textFill>
        </w:rPr>
        <w:t>第二节 商务要求</w:t>
      </w:r>
    </w:p>
    <w:p w14:paraId="1B7D6014">
      <w:pPr>
        <w:pStyle w:val="35"/>
        <w:rPr>
          <w:rFonts w:hint="eastAsia"/>
          <w:highlight w:val="none"/>
        </w:rPr>
      </w:pPr>
    </w:p>
    <w:p w14:paraId="3A56CA24">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jc w:val="left"/>
        <w:rPr>
          <w:rFonts w:hint="eastAsia" w:ascii="仿宋" w:hAnsi="仿宋" w:eastAsia="仿宋" w:cs="仿宋"/>
          <w:color w:val="000000" w:themeColor="text1"/>
          <w:kern w:val="0"/>
          <w:sz w:val="21"/>
          <w:szCs w:val="21"/>
          <w:highlight w:val="none"/>
          <w14:textFill>
            <w14:solidFill>
              <w14:schemeClr w14:val="tx1"/>
            </w14:solidFill>
          </w14:textFill>
        </w:rPr>
      </w:pPr>
      <w:bookmarkStart w:id="34" w:name="_Toc7210"/>
      <w:bookmarkStart w:id="35" w:name="_Toc474"/>
      <w:bookmarkStart w:id="36" w:name="_Toc7703"/>
      <w:bookmarkStart w:id="37" w:name="_Toc31648"/>
      <w:bookmarkStart w:id="38" w:name="_Toc15212"/>
      <w:bookmarkStart w:id="39" w:name="_Toc2230"/>
      <w:bookmarkStart w:id="40" w:name="_Toc16926"/>
      <w:r>
        <w:rPr>
          <w:rFonts w:hint="eastAsia" w:ascii="仿宋" w:hAnsi="仿宋" w:eastAsia="仿宋" w:cs="仿宋"/>
          <w:b/>
          <w:bCs/>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spacing w:val="0"/>
          <w:kern w:val="0"/>
          <w:sz w:val="21"/>
          <w:szCs w:val="21"/>
          <w:highlight w:val="none"/>
          <w14:textFill>
            <w14:solidFill>
              <w14:schemeClr w14:val="tx1"/>
            </w14:solidFill>
          </w14:textFill>
        </w:rPr>
        <w:t>配送企业的基本要求</w:t>
      </w:r>
    </w:p>
    <w:p w14:paraId="10CA326F">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1、内部组织机构和质量管理体系健全，对所配送产品质量全面负责。</w:t>
      </w:r>
    </w:p>
    <w:p w14:paraId="35DA8069">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2、应具备信息化经营管理系统和统一配送能力，诚信守法，无严重不良记录，能够承担中标品种的配送任务。</w:t>
      </w:r>
    </w:p>
    <w:p w14:paraId="5704DFE5">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3、具有与配送品种相应的质量管理机构和专职质量管理人员。</w:t>
      </w:r>
    </w:p>
    <w:p w14:paraId="0B827094">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4、从业人员中检验师、执业药师等相关专业技术人员应占一定比例。</w:t>
      </w:r>
    </w:p>
    <w:p w14:paraId="1E29E1C7">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5、具有与配送品种相适应的技术培训和售后服务能力，或者约定由第三方提供技术支持。</w:t>
      </w:r>
    </w:p>
    <w:p w14:paraId="527D6851">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6、内部组织机构职责明确，各项管理制度、档案、记录健全。</w:t>
      </w:r>
    </w:p>
    <w:p w14:paraId="76926DE0">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7、具有与配送品种相适应的营业场所，仓储养护设施、运输工具等。</w:t>
      </w:r>
    </w:p>
    <w:p w14:paraId="2A1DB875">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8、具有提供配送品种购销电子定单、配送信息服务的网络信息系统。</w:t>
      </w:r>
    </w:p>
    <w:p w14:paraId="122B07C6">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9、应建立检验试剂配送网络服务信息平台，随时沟通与医疗机构、中标生产企业之间的检验</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试剂供需信息。</w:t>
      </w:r>
    </w:p>
    <w:p w14:paraId="79164BF8">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10、销售人员应熟悉所售产品的性能、规格及有关专业知识，正确介绍产品的性能、用途、</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用法、禁忌及注意事项。</w:t>
      </w:r>
    </w:p>
    <w:p w14:paraId="0FD2D5AD">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spacing w:val="0"/>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11、在配送服务周期内，如甲方有本次招标配送范围外新增项目，则按品目分类由中标方配 送。</w:t>
      </w:r>
    </w:p>
    <w:p w14:paraId="029E4968">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spacing w:val="0"/>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pacing w:val="0"/>
          <w:kern w:val="0"/>
          <w:sz w:val="21"/>
          <w:szCs w:val="21"/>
          <w:highlight w:val="none"/>
          <w14:textFill>
            <w14:solidFill>
              <w14:schemeClr w14:val="tx1"/>
            </w14:solidFill>
          </w14:textFill>
        </w:rPr>
        <w:t>12、在合同有限期内，如上级行政部门作出政策性价格调整或需要重新招标时，按照调整后</w:t>
      </w:r>
    </w:p>
    <w:p w14:paraId="750AD599">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spacing w:val="0"/>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招标执行，但调整后或重新招标的价格高于该中标价，仍按该中标价执行。</w:t>
      </w:r>
    </w:p>
    <w:p w14:paraId="06D9DC6D">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spacing w:val="0"/>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1.13、</w:t>
      </w:r>
      <w:r>
        <w:rPr>
          <w:rFonts w:hint="eastAsia" w:ascii="仿宋" w:hAnsi="仿宋" w:eastAsia="仿宋" w:cs="仿宋"/>
          <w:color w:val="000000" w:themeColor="text1"/>
          <w:spacing w:val="0"/>
          <w:kern w:val="0"/>
          <w:sz w:val="21"/>
          <w:szCs w:val="21"/>
          <w:highlight w:val="none"/>
          <w14:textFill>
            <w14:solidFill>
              <w14:schemeClr w14:val="tx1"/>
            </w14:solidFill>
          </w14:textFill>
        </w:rPr>
        <w:t>配送单位配送的试剂如原有设备需</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维修保养</w:t>
      </w:r>
      <w:r>
        <w:rPr>
          <w:rFonts w:hint="eastAsia" w:ascii="仿宋" w:hAnsi="仿宋" w:eastAsia="仿宋" w:cs="仿宋"/>
          <w:color w:val="000000" w:themeColor="text1"/>
          <w:spacing w:val="0"/>
          <w:kern w:val="0"/>
          <w:sz w:val="21"/>
          <w:szCs w:val="21"/>
          <w:highlight w:val="none"/>
          <w14:textFill>
            <w14:solidFill>
              <w14:schemeClr w14:val="tx1"/>
            </w14:solidFill>
          </w14:textFill>
        </w:rPr>
        <w:t>的，应对仪器设备进行</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维修保养</w:t>
      </w:r>
      <w:r>
        <w:rPr>
          <w:rFonts w:hint="eastAsia" w:ascii="仿宋" w:hAnsi="仿宋" w:eastAsia="仿宋" w:cs="仿宋"/>
          <w:color w:val="000000" w:themeColor="text1"/>
          <w:spacing w:val="0"/>
          <w:kern w:val="0"/>
          <w:sz w:val="21"/>
          <w:szCs w:val="21"/>
          <w:highlight w:val="none"/>
          <w:lang w:eastAsia="zh-CN"/>
          <w14:textFill>
            <w14:solidFill>
              <w14:schemeClr w14:val="tx1"/>
            </w14:solidFill>
          </w14:textFill>
        </w:rPr>
        <w:t>；</w:t>
      </w:r>
    </w:p>
    <w:p w14:paraId="17DECA94">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jc w:val="left"/>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b/>
          <w:bCs/>
          <w:color w:val="000000" w:themeColor="text1"/>
          <w:spacing w:val="0"/>
          <w:kern w:val="0"/>
          <w:sz w:val="21"/>
          <w:szCs w:val="21"/>
          <w:highlight w:val="none"/>
          <w14:textFill>
            <w14:solidFill>
              <w14:schemeClr w14:val="tx1"/>
            </w14:solidFill>
          </w14:textFill>
        </w:rPr>
        <w:t>配送企业的职责</w:t>
      </w:r>
    </w:p>
    <w:p w14:paraId="4389E018">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1、负责向采购人提供检验试剂集中配送</w:t>
      </w:r>
      <w:r>
        <w:rPr>
          <w:rFonts w:hint="eastAsia" w:ascii="仿宋" w:hAnsi="仿宋" w:eastAsia="仿宋" w:cs="仿宋"/>
          <w:color w:val="000000" w:themeColor="text1"/>
          <w:spacing w:val="0"/>
          <w:kern w:val="0"/>
          <w:sz w:val="21"/>
          <w:szCs w:val="21"/>
          <w:highlight w:val="none"/>
          <w:lang w:eastAsia="zh-CN"/>
          <w14:textFill>
            <w14:solidFill>
              <w14:schemeClr w14:val="tx1"/>
            </w14:solidFill>
          </w14:textFill>
        </w:rPr>
        <w:t>，</w:t>
      </w:r>
      <w:r>
        <w:rPr>
          <w:rFonts w:hint="eastAsia" w:ascii="仿宋" w:hAnsi="仿宋" w:eastAsia="仿宋" w:cs="仿宋"/>
          <w:b w:val="0"/>
          <w:bCs w:val="0"/>
          <w:snapToGrid/>
          <w:color w:val="000000" w:themeColor="text1"/>
          <w:spacing w:val="0"/>
          <w:kern w:val="0"/>
          <w:sz w:val="21"/>
          <w:szCs w:val="21"/>
          <w:highlight w:val="none"/>
          <w:lang w:val="en-US" w:eastAsia="zh-CN" w:bidi="ar-SA"/>
          <w14:textFill>
            <w14:solidFill>
              <w14:schemeClr w14:val="tx1"/>
            </w14:solidFill>
          </w14:textFill>
        </w:rPr>
        <w:t>试剂品种及数量总体配送到位率不得低于95%。</w:t>
      </w:r>
    </w:p>
    <w:p w14:paraId="357AACAE">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2、协助采购人做好检验试剂采购、使用中的监管工作。</w:t>
      </w:r>
    </w:p>
    <w:p w14:paraId="7CD7CFFB">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3、制定保障检验试剂质量安全的相关工作制度和编制产品目录。</w:t>
      </w:r>
    </w:p>
    <w:p w14:paraId="3C2BACA3">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4、督促产品供货商做好检验试剂供应及售后服务。</w:t>
      </w:r>
    </w:p>
    <w:p w14:paraId="7092FBBD">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5、负责与产品供应商的费用结算工作及结算周期内的必要垫资。</w:t>
      </w:r>
    </w:p>
    <w:p w14:paraId="543A92AB">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6、协助采购人完成原有配送商的清退工作。</w:t>
      </w:r>
    </w:p>
    <w:p w14:paraId="78C55C0D">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7、储备一定量的检验试剂，确保应急供应。</w:t>
      </w:r>
    </w:p>
    <w:p w14:paraId="68BC2AD1">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8、负责近效期检验试剂及问题产品召回、更换工作。</w:t>
      </w:r>
    </w:p>
    <w:p w14:paraId="061BCED3">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9、负责采购人、 自身相关人员的培训。</w:t>
      </w:r>
    </w:p>
    <w:p w14:paraId="0F9461D0">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10、建立与采购人双方的联络负责人员机制。</w:t>
      </w:r>
    </w:p>
    <w:p w14:paraId="5E4CD612">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11、积极承担采购人交办的其他相关事项。</w:t>
      </w:r>
    </w:p>
    <w:p w14:paraId="0A63FC7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b w:val="0"/>
          <w:bCs w:val="0"/>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12、向采购人配送检验试剂时，除不可抗力因素外，应确保及时快捷配送，不得以任何借口</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拖延或拒绝。一般性采购应在采购人下达的月采购计划应 48 小时内供货到位，临时采购计划在规</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定的时间内供货，急救和特殊采购的应在 4 小时内送达。须备足货源，节假日照常配送，不得因</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供货不及时影响采购人正常医疗工作</w:t>
      </w:r>
      <w:r>
        <w:rPr>
          <w:rFonts w:hint="eastAsia" w:ascii="仿宋" w:hAnsi="仿宋" w:eastAsia="仿宋" w:cs="仿宋"/>
          <w:color w:val="000000" w:themeColor="text1"/>
          <w:spacing w:val="0"/>
          <w:kern w:val="0"/>
          <w:sz w:val="21"/>
          <w:szCs w:val="21"/>
          <w:highlight w:val="none"/>
          <w:lang w:eastAsia="zh-CN"/>
          <w14:textFill>
            <w14:solidFill>
              <w14:schemeClr w14:val="tx1"/>
            </w14:solidFill>
          </w14:textFill>
        </w:rPr>
        <w:t>。</w:t>
      </w:r>
    </w:p>
    <w:p w14:paraId="4E5A79CD">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pacing w:val="0"/>
          <w:kern w:val="0"/>
          <w:sz w:val="21"/>
          <w:szCs w:val="21"/>
          <w:highlight w:val="none"/>
          <w14:textFill>
            <w14:solidFill>
              <w14:schemeClr w14:val="tx1"/>
            </w14:solidFill>
          </w14:textFill>
        </w:rPr>
        <w:t>13、应每月向采购人报送配送情况统计表， 内容包括配送单位、品种、数量、金额等，并负</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责收集和分析医院检验试剂使用情况。</w:t>
      </w:r>
    </w:p>
    <w:p w14:paraId="73238A55">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b w:val="0"/>
          <w:bCs w:val="0"/>
          <w:color w:val="000000" w:themeColor="text1"/>
          <w:spacing w:val="0"/>
          <w:kern w:val="0"/>
          <w:sz w:val="21"/>
          <w:szCs w:val="21"/>
          <w:highlight w:val="none"/>
          <w14:textFill>
            <w14:solidFill>
              <w14:schemeClr w14:val="tx1"/>
            </w14:solidFill>
          </w14:textFill>
        </w:rPr>
        <w:t>配送企业的经营管理</w:t>
      </w:r>
    </w:p>
    <w:p w14:paraId="6EC636B6">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1、必须严格履行合同，不得从检验试剂中标企业以外的供货渠道采购中标检验试剂，未经采 购人许可不得将中标检验试剂再次委托其他企业配送。</w:t>
      </w:r>
    </w:p>
    <w:p w14:paraId="49580126">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2、检验试剂存储应符合分类存放的相关要求，并做好相关记录。</w:t>
      </w:r>
    </w:p>
    <w:p w14:paraId="21C85A8E">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3、应建立服务质量信息反馈制度，定期听取采购人的意见或建议，及时纠正配送过程中存在</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的问题，不断提高服务质量。</w:t>
      </w:r>
    </w:p>
    <w:p w14:paraId="03358B54">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spacing w:val="0"/>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4、购进的检验试剂，采购人将与供货方签定有明确质量责任条款的购销合同或购销协议，并 于交货验收时向检验试剂中标企业索取下列证件或证明文件：</w:t>
      </w:r>
    </w:p>
    <w:p w14:paraId="062C2F5E">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（1）《医疗器械生产企业许可证》或《医疗器械经营企业许可证》、《营业执照》（均为加 盖供货单位印章的复印件）。（纳入医疗器械管理的）</w:t>
      </w:r>
    </w:p>
    <w:p w14:paraId="30A53B1F">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（2）《药品生产许可证》、《药品生产质量管理规范认证》、《营业执照》（均为加盖供货</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单位印章的复印件）。（纳入药品管理的）</w:t>
      </w:r>
    </w:p>
    <w:p w14:paraId="31B49D63">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（3）生产厂家或医疗器械或药品法定检测机构出具的产品合格证明（原件或加盖印章的复印</w:t>
      </w:r>
      <w:r>
        <w:rPr>
          <w:rFonts w:hint="eastAsia" w:ascii="仿宋" w:hAnsi="仿宋" w:eastAsia="仿宋" w:cs="仿宋"/>
          <w:color w:val="000000" w:themeColor="text1"/>
          <w:kern w:val="0"/>
          <w:sz w:val="21"/>
          <w:szCs w:val="21"/>
          <w:highlight w:val="none"/>
          <w14:textFill>
            <w14:solidFill>
              <w14:schemeClr w14:val="tx1"/>
            </w14:solidFill>
          </w14:textFill>
        </w:rPr>
        <w:t>件）。</w:t>
      </w:r>
    </w:p>
    <w:p w14:paraId="797511F6">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（4）《医疗器械产品注册证》</w:t>
      </w:r>
      <w:r>
        <w:rPr>
          <w:rFonts w:hint="eastAsia" w:ascii="仿宋" w:hAnsi="仿宋" w:eastAsia="仿宋" w:cs="仿宋"/>
          <w:color w:val="000000" w:themeColor="text1"/>
          <w:spacing w:val="0"/>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医疗器械产品备案证</w:t>
      </w:r>
      <w:r>
        <w:rPr>
          <w:rFonts w:hint="eastAsia" w:ascii="仿宋" w:hAnsi="仿宋" w:eastAsia="仿宋" w:cs="仿宋"/>
          <w:color w:val="000000" w:themeColor="text1"/>
          <w:spacing w:val="0"/>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及《医疗器械注册登记表》（加盖印章的复印件）。</w:t>
      </w:r>
    </w:p>
    <w:p w14:paraId="3909EA6F">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（5）检验试剂为进口产品的，还须提供海关报关单，中文标识和技术资料等（加盖印章的复 印件）。</w:t>
      </w:r>
    </w:p>
    <w:p w14:paraId="5B645280">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5、购进的检验试剂品种应与供货方签定有明确质量责任条款的购销合同或购销协议，并向检验试剂挂网企业索取法律法规规定的相关证件或证明文件.配送的检验试剂具体产品要求，须按院方要求配送。</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所有的配送产品需</w:t>
      </w:r>
      <w:r>
        <w:rPr>
          <w:rFonts w:hint="eastAsia" w:ascii="仿宋" w:hAnsi="仿宋" w:eastAsia="仿宋" w:cs="仿宋"/>
          <w:color w:val="000000" w:themeColor="text1"/>
          <w:spacing w:val="0"/>
          <w:kern w:val="0"/>
          <w:sz w:val="21"/>
          <w:szCs w:val="21"/>
          <w:highlight w:val="none"/>
          <w14:textFill>
            <w14:solidFill>
              <w14:schemeClr w14:val="tx1"/>
            </w14:solidFill>
          </w14:textFill>
        </w:rPr>
        <w:t>按照国家及省市相关采购</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政策</w:t>
      </w:r>
      <w:r>
        <w:rPr>
          <w:rFonts w:hint="eastAsia" w:ascii="仿宋" w:hAnsi="仿宋" w:eastAsia="仿宋" w:cs="仿宋"/>
          <w:color w:val="000000" w:themeColor="text1"/>
          <w:spacing w:val="0"/>
          <w:kern w:val="0"/>
          <w:sz w:val="21"/>
          <w:szCs w:val="21"/>
          <w:highlight w:val="none"/>
          <w14:textFill>
            <w14:solidFill>
              <w14:schemeClr w14:val="tx1"/>
            </w14:solidFill>
          </w14:textFill>
        </w:rPr>
        <w:t>执行。</w:t>
      </w:r>
    </w:p>
    <w:p w14:paraId="656BD090">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6、购进或销售检验试剂应严格执行产品出入库质量验收制度，并做好记录。记录内容包括： 购进或销售日期、供货单位或使用单位、产品名称、规格型号、购进或销售数量、生产批号或灭 菌批号、外观质量状况、生产日期、有效期、记录日期等内容，验收人员和质量复核人员分别在 记录上签字，对产品质量负责。验收记录应保存至产品有效期后 1 年，没有规定有效期的不得少</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于 2 年。</w:t>
      </w:r>
    </w:p>
    <w:p w14:paraId="2F5430CF">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7、检验试剂在储存和运送过程中发生质量问题，应悬挂质量状态标志，并尽快做出处理。下</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列情形之一的检验试剂不得配送：</w:t>
      </w:r>
    </w:p>
    <w:p w14:paraId="2CBB83ED">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（1） 小包装破损、封口不牢、封条严重损坏的；</w:t>
      </w:r>
    </w:p>
    <w:p w14:paraId="3B083182">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（2） 包装标识模糊不清或脱落的；</w:t>
      </w:r>
    </w:p>
    <w:p w14:paraId="052E094E">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（3） 被污染、虫蛀、鼠咬、变质的；</w:t>
      </w:r>
    </w:p>
    <w:p w14:paraId="35B267AD">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（4） 超过有效期的；</w:t>
      </w:r>
    </w:p>
    <w:p w14:paraId="67A4D660">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pacing w:val="0"/>
          <w:kern w:val="0"/>
          <w:sz w:val="21"/>
          <w:szCs w:val="21"/>
          <w:highlight w:val="none"/>
          <w14:textFill>
            <w14:solidFill>
              <w14:schemeClr w14:val="tx1"/>
            </w14:solidFill>
          </w14:textFill>
        </w:rPr>
        <w:t>（5） 外观质量可疑的。</w:t>
      </w:r>
    </w:p>
    <w:p w14:paraId="487EDBC2">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8、检验试剂的运输应保证产品质量。有特殊运送要求的，配备专用运输工具，针对产品的包</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装及道路状况，采取相应的措施，避免混装倒置，防止包装破损、产品裸露或混淆。</w:t>
      </w:r>
    </w:p>
    <w:p w14:paraId="4C1A7063">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9、对采购人质量查询、投诉和使用过程中发现的疑似质量问题，要查明原因，分清责任，及</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时处理，做好记录。</w:t>
      </w:r>
    </w:p>
    <w:p w14:paraId="7713FC49">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10、对已经发生质量事故或者存在安全隐患的检验试剂，配送企业应立即停止销售，主动召</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回，并向采购人和食品药品监督管理部门报告。</w:t>
      </w:r>
    </w:p>
    <w:p w14:paraId="6B23E317">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11、认真执行国家有关检验试剂不良事件监测和再评价制度，注意收集不良事件信息，发现</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不良事件应及时向有关部门报告。</w:t>
      </w:r>
    </w:p>
    <w:p w14:paraId="32B703EC">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420" w:firstLineChars="20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color w:val="000000" w:themeColor="text1"/>
          <w:spacing w:val="0"/>
          <w:kern w:val="0"/>
          <w:sz w:val="21"/>
          <w:szCs w:val="21"/>
          <w:highlight w:val="none"/>
          <w14:textFill>
            <w14:solidFill>
              <w14:schemeClr w14:val="tx1"/>
            </w14:solidFill>
          </w14:textFill>
        </w:rPr>
        <w:t>12、建立配送人员健康档案，对从事检验试剂采购、验收、保管、运送等工作的人员，每年</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pacing w:val="0"/>
          <w:kern w:val="0"/>
          <w:sz w:val="21"/>
          <w:szCs w:val="21"/>
          <w:highlight w:val="none"/>
          <w14:textFill>
            <w14:solidFill>
              <w14:schemeClr w14:val="tx1"/>
            </w14:solidFill>
          </w14:textFill>
        </w:rPr>
        <w:t>进行一次健康体检，患有精神病、传染病或其他污染性疾病的人员，及时调离检验试剂配送岗位。</w:t>
      </w:r>
    </w:p>
    <w:p w14:paraId="09EBC550">
      <w:pPr>
        <w:widowControl/>
        <w:pBdr>
          <w:top w:val="none" w:color="auto" w:sz="0" w:space="0"/>
          <w:left w:val="none" w:color="auto" w:sz="0" w:space="0"/>
          <w:bottom w:val="none" w:color="auto" w:sz="0" w:space="0"/>
          <w:right w:val="none" w:color="auto" w:sz="0" w:space="0"/>
        </w:pBdr>
        <w:shd w:val="clear" w:color="auto" w:fill="FFFFFF"/>
        <w:spacing w:line="360" w:lineRule="auto"/>
        <w:ind w:firstLine="42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pacing w:val="0"/>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pacing w:val="0"/>
          <w:kern w:val="0"/>
          <w:sz w:val="21"/>
          <w:szCs w:val="21"/>
          <w:highlight w:val="none"/>
          <w:lang w:val="en-US" w:eastAsia="zh-CN"/>
          <w14:textFill>
            <w14:solidFill>
              <w14:schemeClr w14:val="tx1"/>
            </w14:solidFill>
          </w14:textFill>
        </w:rPr>
        <w:t>.</w:t>
      </w:r>
      <w:r>
        <w:rPr>
          <w:rFonts w:hint="eastAsia" w:ascii="仿宋" w:hAnsi="仿宋" w:eastAsia="仿宋" w:cs="仿宋"/>
          <w:b w:val="0"/>
          <w:bCs w:val="0"/>
          <w:color w:val="000000" w:themeColor="text1"/>
          <w:spacing w:val="0"/>
          <w:kern w:val="0"/>
          <w:sz w:val="21"/>
          <w:szCs w:val="21"/>
          <w:highlight w:val="none"/>
          <w14:textFill>
            <w14:solidFill>
              <w14:schemeClr w14:val="tx1"/>
            </w14:solidFill>
          </w14:textFill>
        </w:rPr>
        <w:t>13、若配送企业无法配送的检验试剂，采购人有权自行采购或委托他人配送。</w:t>
      </w:r>
      <w:r>
        <w:rPr>
          <w:rFonts w:hint="eastAsia" w:ascii="仿宋" w:hAnsi="仿宋" w:eastAsia="仿宋" w:cs="仿宋"/>
          <w:b w:val="0"/>
          <w:bCs w:val="0"/>
          <w:color w:val="000000" w:themeColor="text1"/>
          <w:kern w:val="0"/>
          <w:highlight w:val="none"/>
          <w:u w:val="single"/>
          <w:lang w:val="en-US" w:eastAsia="zh-CN"/>
          <w14:textFill>
            <w14:solidFill>
              <w14:schemeClr w14:val="tx1"/>
            </w14:solidFill>
          </w14:textFill>
        </w:rPr>
        <w:br w:type="textWrapping"/>
      </w:r>
      <w:r>
        <w:rPr>
          <w:rFonts w:hint="eastAsia" w:ascii="仿宋" w:hAnsi="仿宋" w:eastAsia="仿宋" w:cs="仿宋"/>
          <w:b w:val="0"/>
          <w:bCs w:val="0"/>
          <w:color w:val="000000" w:themeColor="text1"/>
          <w:highlight w:val="none"/>
          <w:lang w:val="en-US" w:eastAsia="zh-CN"/>
          <w14:textFill>
            <w14:solidFill>
              <w14:schemeClr w14:val="tx1"/>
            </w14:solidFill>
          </w14:textFill>
        </w:rPr>
        <w:t>4</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 xml:space="preserve"> 自合同执行期内，如有不符合产品质量要求的，除按采购人要求进行更换有问题的产品外，所导致的民事、行政、刑事等法律责任和经济赔偿均由入围供应商承担，赔偿款由</w:t>
      </w:r>
      <w:r>
        <w:rPr>
          <w:rFonts w:hint="eastAsia" w:ascii="仿宋" w:hAnsi="仿宋" w:eastAsia="仿宋" w:cs="仿宋"/>
          <w:b w:val="0"/>
          <w:bCs w:val="0"/>
          <w:color w:val="000000" w:themeColor="text1"/>
          <w:highlight w:val="none"/>
          <w:lang w:bidi="ar-SA"/>
          <w14:textFill>
            <w14:solidFill>
              <w14:schemeClr w14:val="tx1"/>
            </w14:solidFill>
          </w14:textFill>
        </w:rPr>
        <w:t>入围供应商支付</w:t>
      </w:r>
      <w:r>
        <w:rPr>
          <w:rFonts w:hint="eastAsia" w:ascii="仿宋" w:hAnsi="仿宋" w:eastAsia="仿宋" w:cs="仿宋"/>
          <w:b w:val="0"/>
          <w:bCs w:val="0"/>
          <w:color w:val="000000" w:themeColor="text1"/>
          <w:highlight w:val="none"/>
          <w14:textFill>
            <w14:solidFill>
              <w14:schemeClr w14:val="tx1"/>
            </w14:solidFill>
          </w14:textFill>
        </w:rPr>
        <w:t>相应赔偿款。</w:t>
      </w:r>
    </w:p>
    <w:p w14:paraId="2564540F">
      <w:pPr>
        <w:keepNext w:val="0"/>
        <w:keepLines w:val="0"/>
        <w:pageBreakBefore w:val="0"/>
        <w:widowControl/>
        <w:pBdr>
          <w:top w:val="none" w:color="auto" w:sz="0" w:space="0"/>
          <w:left w:val="none" w:color="auto" w:sz="0" w:space="0"/>
          <w:bottom w:val="none" w:color="auto" w:sz="0" w:space="0"/>
          <w:right w:val="none" w:color="auto" w:sz="0" w:space="0"/>
        </w:pBdr>
        <w:shd w:val="clear" w:fill="FFFFFF"/>
        <w:wordWrap/>
        <w:overflowPunct/>
        <w:topLinePunct w:val="0"/>
        <w:bidi w:val="0"/>
        <w:adjustRightInd/>
        <w:snapToGrid/>
        <w:spacing w:before="0" w:line="360" w:lineRule="auto"/>
        <w:ind w:left="0" w:leftChars="0" w:right="0" w:firstLine="0" w:firstLineChars="0"/>
        <w:jc w:val="left"/>
        <w:rPr>
          <w:rFonts w:hint="eastAsia" w:ascii="仿宋" w:hAnsi="仿宋" w:eastAsia="仿宋" w:cs="仿宋"/>
          <w:b w:val="0"/>
          <w:bCs w:val="0"/>
          <w:color w:val="000000" w:themeColor="text1"/>
          <w:spacing w:val="0"/>
          <w:kern w:val="0"/>
          <w:sz w:val="21"/>
          <w:szCs w:val="21"/>
          <w:highlight w:val="none"/>
          <w14:textFill>
            <w14:solidFill>
              <w14:schemeClr w14:val="tx1"/>
            </w14:solidFill>
          </w14:textFill>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5、合同执行期内，入围供应商不得以产品不足或者无库存等任何理由延迟或拒绝给采购人供货，给采购人造成影响或损失的，由入围供应商承担责任、赔偿损失，赔偿款由入围供应商支付相应赔偿款。</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br w:type="textWrapping"/>
      </w:r>
      <w:r>
        <w:rPr>
          <w:rFonts w:hint="eastAsia" w:ascii="仿宋" w:hAnsi="仿宋" w:eastAsia="仿宋" w:cs="仿宋"/>
          <w:color w:val="000000" w:themeColor="text1"/>
          <w:kern w:val="0"/>
          <w:sz w:val="22"/>
          <w:szCs w:val="22"/>
          <w:highlight w:val="none"/>
          <w14:textFill>
            <w14:solidFill>
              <w14:schemeClr w14:val="tx1"/>
            </w14:solidFill>
          </w14:textFill>
        </w:rPr>
        <w:t>★</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6、供应商须在</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结果公告发布后10个工作日</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提供所入围包号制造商授权原件及</w:t>
      </w:r>
      <w:r>
        <w:rPr>
          <w:rFonts w:hint="eastAsia" w:ascii="仿宋" w:hAnsi="仿宋" w:eastAsia="仿宋" w:cs="仿宋"/>
          <w:b w:val="0"/>
          <w:color w:val="000000" w:themeColor="text1"/>
          <w:sz w:val="21"/>
          <w:szCs w:val="21"/>
          <w:highlight w:val="none"/>
          <w:lang w:eastAsia="zh-CN"/>
          <w14:textFill>
            <w14:solidFill>
              <w14:schemeClr w14:val="tx1"/>
            </w14:solidFill>
          </w14:textFill>
        </w:rPr>
        <w:t>湖南省药品和医用耗材招采管理子系统</w:t>
      </w:r>
      <w:r>
        <w:rPr>
          <w:rFonts w:hint="eastAsia" w:ascii="仿宋" w:hAnsi="仿宋" w:eastAsia="仿宋" w:cs="仿宋"/>
          <w:b w:val="0"/>
          <w:color w:val="000000" w:themeColor="text1"/>
          <w:sz w:val="21"/>
          <w:szCs w:val="21"/>
          <w:highlight w:val="none"/>
          <w14:textFill>
            <w14:solidFill>
              <w14:schemeClr w14:val="tx1"/>
            </w14:solidFill>
          </w14:textFill>
        </w:rPr>
        <w:t>中配送关系截图</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，否则入围无效。</w:t>
      </w: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（提供承诺函，格式自拟）</w:t>
      </w:r>
    </w:p>
    <w:p w14:paraId="2FDE48F5">
      <w:pPr>
        <w:widowControl/>
        <w:pBdr>
          <w:top w:val="none" w:color="auto" w:sz="0" w:space="0"/>
          <w:left w:val="none" w:color="auto" w:sz="0" w:space="0"/>
          <w:bottom w:val="none" w:color="auto" w:sz="0" w:space="0"/>
          <w:right w:val="none" w:color="auto" w:sz="0" w:space="0"/>
        </w:pBdr>
        <w:shd w:val="clear" w:fill="FFFFFF"/>
        <w:spacing w:line="360" w:lineRule="auto"/>
        <w:ind w:firstLine="0"/>
        <w:jc w:val="left"/>
        <w:rPr>
          <w:rFonts w:hint="eastAsia" w:ascii="仿宋" w:hAnsi="仿宋" w:eastAsia="仿宋" w:cs="仿宋"/>
          <w:b w:val="0"/>
          <w:bCs w:val="0"/>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w:t>
      </w:r>
      <w:r>
        <w:rPr>
          <w:rFonts w:hint="eastAsia" w:ascii="仿宋" w:hAnsi="仿宋" w:eastAsia="仿宋" w:cs="仿宋"/>
          <w:color w:val="000000" w:themeColor="text1"/>
          <w:kern w:val="0"/>
          <w:highlight w:val="none"/>
          <w:lang w:val="en-US" w:eastAsia="zh-CN"/>
          <w14:textFill>
            <w14:solidFill>
              <w14:schemeClr w14:val="tx1"/>
            </w14:solidFill>
          </w14:textFill>
        </w:rPr>
        <w:t>7</w:t>
      </w:r>
      <w:r>
        <w:rPr>
          <w:rFonts w:hint="eastAsia" w:ascii="仿宋" w:hAnsi="仿宋" w:eastAsia="仿宋" w:cs="仿宋"/>
          <w:color w:val="000000" w:themeColor="text1"/>
          <w:kern w:val="0"/>
          <w:highlight w:val="none"/>
          <w14:textFill>
            <w14:solidFill>
              <w14:schemeClr w14:val="tx1"/>
            </w14:solidFill>
          </w14:textFill>
        </w:rPr>
        <w:t>、</w:t>
      </w:r>
      <w:r>
        <w:rPr>
          <w:rFonts w:hint="eastAsia" w:ascii="仿宋" w:hAnsi="仿宋" w:eastAsia="仿宋" w:cs="仿宋"/>
          <w:color w:val="000000" w:themeColor="text1"/>
          <w:kern w:val="0"/>
          <w:highlight w:val="none"/>
          <w:lang w:val="en-US" w:eastAsia="zh-CN"/>
          <w14:textFill>
            <w14:solidFill>
              <w14:schemeClr w14:val="tx1"/>
            </w14:solidFill>
          </w14:textFill>
        </w:rPr>
        <w:t>采购人</w:t>
      </w:r>
      <w:r>
        <w:rPr>
          <w:rFonts w:hint="eastAsia" w:ascii="仿宋" w:hAnsi="仿宋" w:eastAsia="仿宋" w:cs="仿宋"/>
          <w:color w:val="000000" w:themeColor="text1"/>
          <w:kern w:val="0"/>
          <w:highlight w:val="none"/>
          <w14:textFill>
            <w14:solidFill>
              <w14:schemeClr w14:val="tx1"/>
            </w14:solidFill>
          </w14:textFill>
        </w:rPr>
        <w:t>如需冷链运输，入围供应商应承诺按要求提供冷链运输。</w:t>
      </w:r>
      <w:r>
        <w:rPr>
          <w:rFonts w:hint="eastAsia" w:ascii="仿宋" w:hAnsi="仿宋" w:eastAsia="仿宋" w:cs="仿宋"/>
          <w:b/>
          <w:bCs/>
          <w:color w:val="000000" w:themeColor="text1"/>
          <w:kern w:val="0"/>
          <w:highlight w:val="none"/>
          <w14:textFill>
            <w14:solidFill>
              <w14:schemeClr w14:val="tx1"/>
            </w14:solidFill>
          </w14:textFill>
        </w:rPr>
        <w:t>（提供承诺函，格式自拟）</w:t>
      </w:r>
    </w:p>
    <w:p w14:paraId="25CCE229">
      <w:pPr>
        <w:widowControl/>
        <w:pBdr>
          <w:top w:val="none" w:color="auto" w:sz="0" w:space="0"/>
          <w:left w:val="none" w:color="auto" w:sz="0" w:space="0"/>
          <w:bottom w:val="none" w:color="auto" w:sz="0" w:space="0"/>
          <w:right w:val="none" w:color="auto" w:sz="0" w:space="0"/>
        </w:pBdr>
        <w:shd w:val="clear" w:fill="FFFFFF"/>
        <w:spacing w:line="360" w:lineRule="auto"/>
        <w:ind w:firstLine="0"/>
        <w:jc w:val="left"/>
        <w:rPr>
          <w:rFonts w:hint="eastAsia" w:ascii="仿宋" w:hAnsi="仿宋" w:eastAsia="仿宋" w:cs="仿宋"/>
          <w:b/>
          <w:bCs/>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8、</w:t>
      </w:r>
      <w:r>
        <w:rPr>
          <w:rFonts w:hint="eastAsia" w:ascii="仿宋" w:hAnsi="仿宋" w:eastAsia="仿宋" w:cs="仿宋"/>
          <w:i w:val="0"/>
          <w:iCs w:val="0"/>
          <w:caps w:val="0"/>
          <w:color w:val="000000" w:themeColor="text1"/>
          <w:spacing w:val="0"/>
          <w:kern w:val="0"/>
          <w:sz w:val="21"/>
          <w:szCs w:val="21"/>
          <w:highlight w:val="none"/>
          <w:shd w:val="clear"/>
          <w14:textFill>
            <w14:solidFill>
              <w14:schemeClr w14:val="tx1"/>
            </w14:solidFill>
          </w14:textFill>
        </w:rPr>
        <w:t>供应商承诺入围后严格遵守医院 SPD 运营管理制度，并按 SPD 配送服务费结算金额的 2.8% 支付相关费用。</w:t>
      </w:r>
      <w:r>
        <w:rPr>
          <w:rFonts w:hint="eastAsia" w:ascii="仿宋" w:hAnsi="仿宋" w:eastAsia="仿宋" w:cs="仿宋"/>
          <w:b/>
          <w:bCs/>
          <w:color w:val="000000" w:themeColor="text1"/>
          <w:kern w:val="0"/>
          <w:highlight w:val="none"/>
          <w14:textFill>
            <w14:solidFill>
              <w14:schemeClr w14:val="tx1"/>
            </w14:solidFill>
          </w14:textFill>
        </w:rPr>
        <w:t>（提供承诺函，格式自拟）</w:t>
      </w:r>
    </w:p>
    <w:p w14:paraId="04FA9920">
      <w:pPr>
        <w:widowControl/>
        <w:pBdr>
          <w:top w:val="none" w:color="auto" w:sz="0" w:space="0"/>
          <w:left w:val="none" w:color="auto" w:sz="0" w:space="0"/>
          <w:bottom w:val="none" w:color="auto" w:sz="0" w:space="0"/>
          <w:right w:val="none" w:color="auto" w:sz="0" w:space="0"/>
        </w:pBdr>
        <w:shd w:val="clear" w:fill="FFFFFF"/>
        <w:ind w:firstLine="0"/>
        <w:jc w:val="left"/>
        <w:rPr>
          <w:rFonts w:hint="eastAsia" w:ascii="仿宋" w:hAnsi="仿宋" w:eastAsia="仿宋" w:cs="仿宋"/>
          <w:b w:val="0"/>
          <w:bCs w:val="0"/>
          <w:color w:val="FF0000"/>
          <w:kern w:val="0"/>
          <w:highlight w:val="none"/>
        </w:rPr>
      </w:pP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9</w:t>
      </w:r>
      <w:r>
        <w:rPr>
          <w:rFonts w:hint="eastAsia" w:ascii="仿宋" w:hAnsi="仿宋" w:eastAsia="仿宋" w:cs="仿宋"/>
          <w:b w:val="0"/>
          <w:bCs w:val="0"/>
          <w:i w:val="0"/>
          <w:iCs w:val="0"/>
          <w:caps w:val="0"/>
          <w:color w:val="000000" w:themeColor="text1"/>
          <w:spacing w:val="0"/>
          <w:kern w:val="2"/>
          <w:sz w:val="21"/>
          <w:szCs w:val="21"/>
          <w:highlight w:val="none"/>
          <w:shd w:val="clear"/>
          <w:lang w:val="en-US" w:eastAsia="zh-CN" w:bidi="ar-SA"/>
          <w14:textFill>
            <w14:solidFill>
              <w14:schemeClr w14:val="tx1"/>
            </w14:solidFill>
          </w14:textFill>
        </w:rPr>
        <w:t>、付款方式</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货到甲方指定地点，甲乙双方共同对产品进行验收，乙方每月需向甲方提供符合甲方要求的发票，经甲方将产品订单与产品验收单对照核实后，确认发生费用与乙方提供的发票相符，甲方按实际发生的货款在完成内部付款流程后，根据医院的财务制度付款。</w:t>
      </w:r>
      <w:r>
        <w:rPr>
          <w:rFonts w:hint="eastAsia" w:ascii="仿宋" w:hAnsi="仿宋" w:eastAsia="仿宋" w:cs="仿宋"/>
          <w:b w:val="0"/>
          <w:bCs w:val="0"/>
          <w:color w:val="000000" w:themeColor="text1"/>
          <w:kern w:val="2"/>
          <w:sz w:val="21"/>
          <w:szCs w:val="21"/>
          <w:highlight w:val="none"/>
          <w:lang w:val="en-US" w:eastAsia="zh-CN" w:bidi="ar-SA"/>
          <w14:textFill>
            <w14:solidFill>
              <w14:schemeClr w14:val="tx1"/>
            </w14:solidFill>
          </w14:textFill>
        </w:rPr>
        <w:br w:type="textWrapping"/>
      </w:r>
    </w:p>
    <w:p w14:paraId="5CB23AAF">
      <w:pPr>
        <w:pStyle w:val="14"/>
        <w:keepNext w:val="0"/>
        <w:keepLines w:val="0"/>
        <w:pageBreakBefore w:val="0"/>
        <w:widowControl/>
        <w:wordWrap/>
        <w:overflowPunct/>
        <w:topLinePunct w:val="0"/>
        <w:bidi w:val="0"/>
        <w:adjustRightInd w:val="0"/>
        <w:snapToGrid w:val="0"/>
        <w:spacing w:line="240" w:lineRule="auto"/>
        <w:ind w:left="0" w:leftChars="0" w:right="0"/>
        <w:rPr>
          <w:color w:val="auto"/>
          <w:highlight w:val="none"/>
        </w:rPr>
      </w:pPr>
    </w:p>
    <w:p w14:paraId="15468814">
      <w:pPr>
        <w:pStyle w:val="15"/>
        <w:spacing w:line="360" w:lineRule="auto"/>
        <w:ind w:left="0"/>
        <w:rPr>
          <w:highlight w:val="none"/>
        </w:rPr>
        <w:sectPr>
          <w:footerReference r:id="rId7" w:type="default"/>
          <w:pgSz w:w="11906" w:h="16838"/>
          <w:pgMar w:top="1134" w:right="1134" w:bottom="1134" w:left="1134" w:header="851" w:footer="680" w:gutter="0"/>
          <w:pgNumType w:fmt="decimal"/>
          <w:cols w:space="720" w:num="1"/>
          <w:docGrid w:linePitch="312" w:charSpace="0"/>
        </w:sectPr>
      </w:pPr>
    </w:p>
    <w:bookmarkEnd w:id="8"/>
    <w:bookmarkEnd w:id="9"/>
    <w:bookmarkEnd w:id="34"/>
    <w:bookmarkEnd w:id="35"/>
    <w:bookmarkEnd w:id="36"/>
    <w:bookmarkEnd w:id="37"/>
    <w:bookmarkEnd w:id="38"/>
    <w:bookmarkEnd w:id="39"/>
    <w:bookmarkEnd w:id="40"/>
    <w:p w14:paraId="7F84544D">
      <w:pPr>
        <w:pStyle w:val="3"/>
        <w:jc w:val="center"/>
        <w:rPr>
          <w:color w:val="000000" w:themeColor="text1"/>
          <w:sz w:val="40"/>
          <w:szCs w:val="40"/>
          <w:highlight w:val="none"/>
          <w14:textFill>
            <w14:solidFill>
              <w14:schemeClr w14:val="tx1"/>
            </w14:solidFill>
          </w14:textFill>
        </w:rPr>
      </w:pPr>
      <w:bookmarkStart w:id="41" w:name="_Toc31666"/>
      <w:bookmarkStart w:id="42" w:name="_Toc19452"/>
      <w:bookmarkStart w:id="43" w:name="_Toc32689"/>
      <w:bookmarkStart w:id="44" w:name="_Toc10656"/>
      <w:bookmarkStart w:id="45" w:name="_Toc16507"/>
      <w:bookmarkStart w:id="46" w:name="_Toc26227"/>
      <w:bookmarkStart w:id="47" w:name="_Toc20659"/>
      <w:bookmarkStart w:id="48" w:name="_Toc12817"/>
      <w:bookmarkStart w:id="49" w:name="_Toc270281775"/>
      <w:bookmarkStart w:id="50" w:name="_Toc246213143"/>
      <w:bookmarkStart w:id="51" w:name="_Toc214353463"/>
      <w:bookmarkStart w:id="52" w:name="_Toc214353464"/>
      <w:r>
        <w:rPr>
          <w:rFonts w:hint="eastAsia"/>
          <w:color w:val="000000" w:themeColor="text1"/>
          <w:sz w:val="40"/>
          <w:szCs w:val="40"/>
          <w:highlight w:val="none"/>
          <w14:textFill>
            <w14:solidFill>
              <w14:schemeClr w14:val="tx1"/>
            </w14:solidFill>
          </w14:textFill>
        </w:rPr>
        <w:t>第</w:t>
      </w:r>
      <w:r>
        <w:rPr>
          <w:rFonts w:hint="eastAsia"/>
          <w:color w:val="000000" w:themeColor="text1"/>
          <w:sz w:val="40"/>
          <w:szCs w:val="40"/>
          <w:highlight w:val="none"/>
          <w:lang w:val="en-US" w:eastAsia="zh-CN"/>
          <w14:textFill>
            <w14:solidFill>
              <w14:schemeClr w14:val="tx1"/>
            </w14:solidFill>
          </w14:textFill>
        </w:rPr>
        <w:t>四</w:t>
      </w:r>
      <w:r>
        <w:rPr>
          <w:rFonts w:hint="eastAsia"/>
          <w:color w:val="000000" w:themeColor="text1"/>
          <w:sz w:val="40"/>
          <w:szCs w:val="40"/>
          <w:highlight w:val="none"/>
          <w14:textFill>
            <w14:solidFill>
              <w14:schemeClr w14:val="tx1"/>
            </w14:solidFill>
          </w14:textFill>
        </w:rPr>
        <w:t>章评标办法</w:t>
      </w:r>
      <w:bookmarkEnd w:id="41"/>
      <w:bookmarkEnd w:id="42"/>
      <w:bookmarkEnd w:id="43"/>
      <w:bookmarkEnd w:id="44"/>
      <w:bookmarkEnd w:id="45"/>
      <w:bookmarkEnd w:id="46"/>
      <w:bookmarkEnd w:id="47"/>
      <w:bookmarkEnd w:id="48"/>
    </w:p>
    <w:bookmarkEnd w:id="49"/>
    <w:bookmarkEnd w:id="50"/>
    <w:bookmarkEnd w:id="51"/>
    <w:p w14:paraId="12A3088F">
      <w:pPr>
        <w:pStyle w:val="3"/>
        <w:adjustRightInd w:val="0"/>
        <w:snapToGrid w:val="0"/>
        <w:jc w:val="center"/>
        <w:rPr>
          <w:rFonts w:hint="eastAsia" w:ascii="仿宋" w:hAnsi="仿宋" w:eastAsia="仿宋" w:cs="仿宋"/>
          <w:color w:val="000000" w:themeColor="text1"/>
          <w:sz w:val="28"/>
          <w:szCs w:val="28"/>
          <w:highlight w:val="none"/>
          <w14:textFill>
            <w14:solidFill>
              <w14:schemeClr w14:val="tx1"/>
            </w14:solidFill>
          </w14:textFill>
        </w:rPr>
      </w:pPr>
      <w:bookmarkStart w:id="53" w:name="_Toc4480"/>
      <w:bookmarkStart w:id="54" w:name="_Toc6293"/>
      <w:bookmarkStart w:id="55" w:name="_Toc4384"/>
      <w:bookmarkStart w:id="56" w:name="_Toc1817"/>
      <w:bookmarkStart w:id="57" w:name="_Toc151644565"/>
      <w:bookmarkStart w:id="58" w:name="_Toc5913"/>
      <w:bookmarkStart w:id="59" w:name="_Toc14084"/>
      <w:bookmarkStart w:id="60" w:name="_Toc22455"/>
      <w:bookmarkStart w:id="61" w:name="_Toc23844"/>
      <w:bookmarkStart w:id="62" w:name="_Toc121"/>
      <w:bookmarkStart w:id="63" w:name="_Toc25636"/>
      <w:bookmarkStart w:id="64" w:name="_Toc15982"/>
      <w:bookmarkStart w:id="65" w:name="_Toc17481"/>
      <w:bookmarkStart w:id="66" w:name="_Toc270281777"/>
      <w:bookmarkStart w:id="67" w:name="_Toc246213148"/>
      <w:r>
        <w:rPr>
          <w:rFonts w:hint="eastAsia" w:ascii="仿宋" w:hAnsi="仿宋" w:eastAsia="仿宋" w:cs="仿宋"/>
          <w:color w:val="000000" w:themeColor="text1"/>
          <w:sz w:val="28"/>
          <w:szCs w:val="28"/>
          <w:highlight w:val="none"/>
          <w14:textFill>
            <w14:solidFill>
              <w14:schemeClr w14:val="tx1"/>
            </w14:solidFill>
          </w14:textFill>
        </w:rPr>
        <w:t>第一节 遴选评审流程及标准前附表</w:t>
      </w:r>
      <w:bookmarkEnd w:id="53"/>
    </w:p>
    <w:tbl>
      <w:tblPr>
        <w:tblStyle w:val="36"/>
        <w:tblW w:w="859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89"/>
        <w:gridCol w:w="5903"/>
      </w:tblGrid>
      <w:tr w14:paraId="6A2B2B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689" w:type="dxa"/>
            <w:tcBorders>
              <w:top w:val="double" w:color="auto" w:sz="4" w:space="0"/>
              <w:bottom w:val="single" w:color="auto" w:sz="6" w:space="0"/>
            </w:tcBorders>
            <w:noWrap/>
          </w:tcPr>
          <w:p w14:paraId="138C0FB9">
            <w:pPr>
              <w:spacing w:line="360" w:lineRule="auto"/>
              <w:ind w:firstLine="420" w:firstLineChars="200"/>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条款名称</w:t>
            </w:r>
          </w:p>
        </w:tc>
        <w:tc>
          <w:tcPr>
            <w:tcW w:w="5903" w:type="dxa"/>
            <w:tcBorders>
              <w:top w:val="double" w:color="auto" w:sz="4" w:space="0"/>
              <w:bottom w:val="single" w:color="auto" w:sz="6" w:space="0"/>
            </w:tcBorders>
            <w:noWrap/>
          </w:tcPr>
          <w:p w14:paraId="7F43E167">
            <w:pPr>
              <w:spacing w:line="360" w:lineRule="auto"/>
              <w:ind w:firstLine="420" w:firstLineChars="200"/>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编列内容规定</w:t>
            </w:r>
          </w:p>
        </w:tc>
      </w:tr>
      <w:tr w14:paraId="11D718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89" w:type="dxa"/>
            <w:tcBorders>
              <w:top w:val="single" w:color="auto" w:sz="6" w:space="0"/>
              <w:bottom w:val="single" w:color="auto" w:sz="6" w:space="0"/>
            </w:tcBorders>
            <w:noWrap/>
            <w:vAlign w:val="center"/>
          </w:tcPr>
          <w:p w14:paraId="1527E3D7">
            <w:pPr>
              <w:spacing w:line="360" w:lineRule="auto"/>
              <w:ind w:firstLine="420" w:firstLineChars="200"/>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遴选评审方法</w:t>
            </w:r>
          </w:p>
        </w:tc>
        <w:tc>
          <w:tcPr>
            <w:tcW w:w="5903" w:type="dxa"/>
            <w:tcBorders>
              <w:top w:val="single" w:color="auto" w:sz="6" w:space="0"/>
              <w:bottom w:val="single" w:color="auto" w:sz="6" w:space="0"/>
            </w:tcBorders>
            <w:noWrap/>
            <w:vAlign w:val="center"/>
          </w:tcPr>
          <w:p w14:paraId="365C668E">
            <w:pPr>
              <w:spacing w:line="360" w:lineRule="auto"/>
              <w:ind w:firstLine="420" w:firstLineChars="200"/>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综合评分法</w:t>
            </w:r>
          </w:p>
        </w:tc>
      </w:tr>
      <w:tr w14:paraId="596E24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689" w:type="dxa"/>
            <w:tcBorders>
              <w:top w:val="single" w:color="auto" w:sz="6" w:space="0"/>
              <w:bottom w:val="single" w:color="auto" w:sz="6" w:space="0"/>
            </w:tcBorders>
            <w:noWrap/>
            <w:vAlign w:val="center"/>
          </w:tcPr>
          <w:p w14:paraId="03E4E112">
            <w:pPr>
              <w:spacing w:line="360" w:lineRule="auto"/>
              <w:ind w:firstLine="420" w:firstLineChars="200"/>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响应文件报价出现前后不一致的修正</w:t>
            </w:r>
          </w:p>
        </w:tc>
        <w:tc>
          <w:tcPr>
            <w:tcW w:w="5903" w:type="dxa"/>
            <w:tcBorders>
              <w:top w:val="single" w:color="auto" w:sz="6" w:space="0"/>
              <w:bottom w:val="single" w:color="auto" w:sz="6" w:space="0"/>
            </w:tcBorders>
            <w:noWrap/>
            <w:vAlign w:val="center"/>
          </w:tcPr>
          <w:p w14:paraId="14ED2BE7">
            <w:pPr>
              <w:adjustRightInd w:val="0"/>
              <w:snapToGrid w:val="0"/>
              <w:spacing w:before="0" w:beforeLines="-2147483648" w:after="0" w:afterAutospacing="0" w:line="420" w:lineRule="exact"/>
              <w:ind w:firstLine="0" w:firstLineChars="0"/>
              <w:jc w:val="both"/>
              <w:rPr>
                <w:rFonts w:hint="eastAsia"/>
                <w:szCs w:val="21"/>
                <w:highlight w:val="none"/>
              </w:rPr>
            </w:pPr>
            <w:r>
              <w:rPr>
                <w:rFonts w:hint="eastAsia" w:ascii="仿宋" w:hAnsi="仿宋" w:eastAsia="仿宋" w:cs="仿宋"/>
                <w:color w:val="000000" w:themeColor="text1"/>
                <w:kern w:val="2"/>
                <w:sz w:val="21"/>
                <w:szCs w:val="20"/>
                <w:highlight w:val="none"/>
                <w:lang w:val="en-US" w:eastAsia="zh-CN" w:bidi="ar-SA"/>
                <w14:textFill>
                  <w14:solidFill>
                    <w14:schemeClr w14:val="tx1"/>
                  </w14:solidFill>
                </w14:textFill>
              </w:rPr>
              <w:t xml:space="preserve"> （1）</w:t>
            </w:r>
            <w:r>
              <w:rPr>
                <w:rFonts w:hint="eastAsia" w:ascii="仿宋" w:hAnsi="仿宋" w:eastAsia="仿宋" w:cs="仿宋"/>
                <w:color w:val="000000" w:themeColor="text1"/>
                <w:szCs w:val="20"/>
                <w:highlight w:val="none"/>
                <w:lang w:val="en-US" w:eastAsia="zh-CN"/>
                <w14:textFill>
                  <w14:solidFill>
                    <w14:schemeClr w14:val="tx1"/>
                  </w14:solidFill>
                </w14:textFill>
              </w:rPr>
              <w:t>响应</w:t>
            </w:r>
            <w:r>
              <w:rPr>
                <w:rFonts w:hint="eastAsia" w:ascii="仿宋" w:hAnsi="仿宋" w:eastAsia="仿宋" w:cs="仿宋"/>
                <w:color w:val="000000" w:themeColor="text1"/>
                <w:szCs w:val="20"/>
                <w:highlight w:val="none"/>
                <w14:textFill>
                  <w14:solidFill>
                    <w14:schemeClr w14:val="tx1"/>
                  </w14:solidFill>
                </w14:textFill>
              </w:rPr>
              <w:t>文件</w:t>
            </w:r>
            <w:r>
              <w:rPr>
                <w:rFonts w:hint="eastAsia" w:ascii="仿宋" w:hAnsi="仿宋" w:eastAsia="仿宋" w:cs="仿宋"/>
                <w:color w:val="000000" w:themeColor="text1"/>
                <w:kern w:val="2"/>
                <w:sz w:val="21"/>
                <w:szCs w:val="20"/>
                <w:highlight w:val="none"/>
                <w:lang w:val="en-US" w:eastAsia="zh-CN" w:bidi="ar-SA"/>
                <w14:textFill>
                  <w14:solidFill>
                    <w14:schemeClr w14:val="tx1"/>
                  </w14:solidFill>
                </w14:textFill>
              </w:rPr>
              <w:t>中报价一览表内容与</w:t>
            </w:r>
            <w:r>
              <w:rPr>
                <w:rFonts w:hint="eastAsia" w:ascii="仿宋" w:hAnsi="仿宋" w:eastAsia="仿宋" w:cs="仿宋"/>
                <w:color w:val="000000" w:themeColor="text1"/>
                <w:szCs w:val="20"/>
                <w:highlight w:val="none"/>
                <w:lang w:val="en-US" w:eastAsia="zh-CN"/>
                <w14:textFill>
                  <w14:solidFill>
                    <w14:schemeClr w14:val="tx1"/>
                  </w14:solidFill>
                </w14:textFill>
              </w:rPr>
              <w:t>响应</w:t>
            </w:r>
            <w:r>
              <w:rPr>
                <w:rFonts w:hint="eastAsia" w:ascii="仿宋" w:hAnsi="仿宋" w:eastAsia="仿宋" w:cs="仿宋"/>
                <w:color w:val="000000" w:themeColor="text1"/>
                <w:szCs w:val="20"/>
                <w:highlight w:val="none"/>
                <w14:textFill>
                  <w14:solidFill>
                    <w14:schemeClr w14:val="tx1"/>
                  </w14:solidFill>
                </w14:textFill>
              </w:rPr>
              <w:t>文件</w:t>
            </w:r>
            <w:r>
              <w:rPr>
                <w:rFonts w:hint="eastAsia" w:ascii="仿宋" w:hAnsi="仿宋" w:eastAsia="仿宋" w:cs="仿宋"/>
                <w:color w:val="000000" w:themeColor="text1"/>
                <w:kern w:val="2"/>
                <w:sz w:val="21"/>
                <w:szCs w:val="20"/>
                <w:highlight w:val="none"/>
                <w:lang w:val="en-US" w:eastAsia="zh-CN" w:bidi="ar-SA"/>
                <w14:textFill>
                  <w14:solidFill>
                    <w14:schemeClr w14:val="tx1"/>
                  </w14:solidFill>
                </w14:textFill>
              </w:rPr>
              <w:t xml:space="preserve">中相应内容不一致的，以报价一览表为准；   </w:t>
            </w:r>
            <w:r>
              <w:rPr>
                <w:rFonts w:hint="eastAsia"/>
                <w:color w:val="0000FF"/>
                <w:kern w:val="2"/>
                <w:sz w:val="21"/>
                <w:szCs w:val="21"/>
                <w:highlight w:val="none"/>
                <w:lang w:val="en-US" w:eastAsia="zh-CN" w:bidi="ar-SA"/>
              </w:rPr>
              <w:t xml:space="preserve">    </w:t>
            </w:r>
          </w:p>
          <w:p w14:paraId="746415F1">
            <w:pPr>
              <w:adjustRightInd/>
              <w:snapToGrid/>
              <w:spacing w:before="0" w:beforeLines="-2147483648" w:after="0" w:afterAutospacing="0" w:line="360" w:lineRule="auto"/>
              <w:ind w:firstLine="0" w:firstLineChars="0"/>
              <w:jc w:val="left"/>
              <w:rPr>
                <w:rFonts w:hint="eastAsia" w:ascii="仿宋" w:hAnsi="仿宋" w:eastAsia="仿宋" w:cs="仿宋"/>
                <w:color w:val="000000" w:themeColor="text1"/>
                <w:szCs w:val="20"/>
                <w:highlight w:val="none"/>
                <w14:textFill>
                  <w14:solidFill>
                    <w14:schemeClr w14:val="tx1"/>
                  </w14:solidFill>
                </w14:textFill>
              </w:rPr>
            </w:pPr>
            <w:r>
              <w:rPr>
                <w:rFonts w:hint="eastAsia"/>
                <w:szCs w:val="21"/>
                <w:highlight w:val="none"/>
              </w:rPr>
              <w:t>（</w:t>
            </w:r>
            <w:r>
              <w:rPr>
                <w:rFonts w:hint="eastAsia" w:ascii="仿宋" w:hAnsi="仿宋" w:eastAsia="仿宋" w:cs="仿宋"/>
                <w:color w:val="000000" w:themeColor="text1"/>
                <w:szCs w:val="20"/>
                <w:highlight w:val="none"/>
                <w:lang w:val="en-US" w:eastAsia="zh-CN"/>
                <w14:textFill>
                  <w14:solidFill>
                    <w14:schemeClr w14:val="tx1"/>
                  </w14:solidFill>
                </w14:textFill>
              </w:rPr>
              <w:t>2</w:t>
            </w:r>
            <w:r>
              <w:rPr>
                <w:rFonts w:hint="eastAsia" w:ascii="仿宋" w:hAnsi="仿宋" w:eastAsia="仿宋" w:cs="仿宋"/>
                <w:color w:val="000000" w:themeColor="text1"/>
                <w:szCs w:val="20"/>
                <w:highlight w:val="none"/>
                <w14:textFill>
                  <w14:solidFill>
                    <w14:schemeClr w14:val="tx1"/>
                  </w14:solidFill>
                </w14:textFill>
              </w:rPr>
              <w:t>）</w:t>
            </w:r>
            <w:r>
              <w:rPr>
                <w:rFonts w:hint="eastAsia" w:ascii="仿宋" w:hAnsi="仿宋" w:eastAsia="仿宋" w:cs="仿宋"/>
                <w:color w:val="000000" w:themeColor="text1"/>
                <w:szCs w:val="20"/>
                <w:highlight w:val="none"/>
                <w:lang w:val="en-US" w:eastAsia="zh-CN"/>
                <w14:textFill>
                  <w14:solidFill>
                    <w14:schemeClr w14:val="tx1"/>
                  </w14:solidFill>
                </w14:textFill>
              </w:rPr>
              <w:t>响应</w:t>
            </w:r>
            <w:r>
              <w:rPr>
                <w:rFonts w:hint="eastAsia" w:ascii="仿宋" w:hAnsi="仿宋" w:eastAsia="仿宋" w:cs="仿宋"/>
                <w:color w:val="000000" w:themeColor="text1"/>
                <w:szCs w:val="20"/>
                <w:highlight w:val="none"/>
                <w14:textFill>
                  <w14:solidFill>
                    <w14:schemeClr w14:val="tx1"/>
                  </w14:solidFill>
                </w14:textFill>
              </w:rPr>
              <w:t>文件中开标一览表内容与</w:t>
            </w:r>
            <w:r>
              <w:rPr>
                <w:rFonts w:hint="eastAsia" w:ascii="仿宋" w:hAnsi="仿宋" w:eastAsia="仿宋" w:cs="仿宋"/>
                <w:color w:val="000000" w:themeColor="text1"/>
                <w:szCs w:val="20"/>
                <w:highlight w:val="none"/>
                <w:lang w:val="en-US" w:eastAsia="zh-CN"/>
                <w14:textFill>
                  <w14:solidFill>
                    <w14:schemeClr w14:val="tx1"/>
                  </w14:solidFill>
                </w14:textFill>
              </w:rPr>
              <w:t>响应</w:t>
            </w:r>
            <w:r>
              <w:rPr>
                <w:rFonts w:hint="eastAsia" w:ascii="仿宋" w:hAnsi="仿宋" w:eastAsia="仿宋" w:cs="仿宋"/>
                <w:color w:val="000000" w:themeColor="text1"/>
                <w:szCs w:val="20"/>
                <w:highlight w:val="none"/>
                <w14:textFill>
                  <w14:solidFill>
                    <w14:schemeClr w14:val="tx1"/>
                  </w14:solidFill>
                </w14:textFill>
              </w:rPr>
              <w:t>文件中相应内容不一致的，以开标一览表为准；</w:t>
            </w:r>
          </w:p>
          <w:p w14:paraId="7DB9127E">
            <w:pPr>
              <w:adjustRightInd/>
              <w:snapToGrid/>
              <w:spacing w:before="0" w:beforeLines="-2147483648" w:after="0" w:afterAutospacing="0" w:line="360" w:lineRule="auto"/>
              <w:ind w:firstLine="0" w:firstLineChars="0"/>
              <w:jc w:val="left"/>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w:t>
            </w:r>
            <w:r>
              <w:rPr>
                <w:rFonts w:hint="eastAsia" w:ascii="仿宋" w:hAnsi="仿宋" w:eastAsia="仿宋" w:cs="仿宋"/>
                <w:color w:val="000000" w:themeColor="text1"/>
                <w:szCs w:val="20"/>
                <w:highlight w:val="none"/>
                <w:lang w:val="en-US" w:eastAsia="zh-CN"/>
                <w14:textFill>
                  <w14:solidFill>
                    <w14:schemeClr w14:val="tx1"/>
                  </w14:solidFill>
                </w14:textFill>
              </w:rPr>
              <w:t>3</w:t>
            </w:r>
            <w:r>
              <w:rPr>
                <w:rFonts w:hint="eastAsia" w:ascii="仿宋" w:hAnsi="仿宋" w:eastAsia="仿宋" w:cs="仿宋"/>
                <w:color w:val="000000" w:themeColor="text1"/>
                <w:szCs w:val="20"/>
                <w:highlight w:val="none"/>
                <w14:textFill>
                  <w14:solidFill>
                    <w14:schemeClr w14:val="tx1"/>
                  </w14:solidFill>
                </w14:textFill>
              </w:rPr>
              <w:t>）大写金额和小写金额不一致的，以大写金额为准；</w:t>
            </w:r>
          </w:p>
          <w:p w14:paraId="53DC8363">
            <w:pPr>
              <w:adjustRightInd/>
              <w:snapToGrid/>
              <w:spacing w:before="0" w:beforeLines="-2147483648" w:after="0" w:afterAutospacing="0" w:line="360" w:lineRule="auto"/>
              <w:ind w:firstLine="0" w:firstLineChars="0"/>
              <w:jc w:val="left"/>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w:t>
            </w:r>
            <w:r>
              <w:rPr>
                <w:rFonts w:hint="eastAsia" w:ascii="仿宋" w:hAnsi="仿宋" w:eastAsia="仿宋" w:cs="仿宋"/>
                <w:color w:val="000000" w:themeColor="text1"/>
                <w:szCs w:val="20"/>
                <w:highlight w:val="none"/>
                <w:lang w:val="en-US" w:eastAsia="zh-CN"/>
                <w14:textFill>
                  <w14:solidFill>
                    <w14:schemeClr w14:val="tx1"/>
                  </w14:solidFill>
                </w14:textFill>
              </w:rPr>
              <w:t>4</w:t>
            </w:r>
            <w:r>
              <w:rPr>
                <w:rFonts w:hint="eastAsia" w:ascii="仿宋" w:hAnsi="仿宋" w:eastAsia="仿宋" w:cs="仿宋"/>
                <w:color w:val="000000" w:themeColor="text1"/>
                <w:szCs w:val="20"/>
                <w:highlight w:val="none"/>
                <w14:textFill>
                  <w14:solidFill>
                    <w14:schemeClr w14:val="tx1"/>
                  </w14:solidFill>
                </w14:textFill>
              </w:rPr>
              <w:t>）单价金额小数点或者百分比有明显错位的，以开标一览表的总价为准，并修改单价；</w:t>
            </w:r>
          </w:p>
          <w:p w14:paraId="01C234A7">
            <w:pPr>
              <w:adjustRightInd/>
              <w:snapToGrid/>
              <w:spacing w:before="0" w:beforeLines="-2147483648" w:after="0" w:afterAutospacing="0" w:line="360" w:lineRule="auto"/>
              <w:ind w:firstLine="0" w:firstLineChars="0"/>
              <w:jc w:val="left"/>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w:t>
            </w:r>
            <w:r>
              <w:rPr>
                <w:rFonts w:hint="eastAsia" w:ascii="仿宋" w:hAnsi="仿宋" w:eastAsia="仿宋" w:cs="仿宋"/>
                <w:color w:val="000000" w:themeColor="text1"/>
                <w:szCs w:val="20"/>
                <w:highlight w:val="none"/>
                <w:lang w:val="en-US" w:eastAsia="zh-CN"/>
                <w14:textFill>
                  <w14:solidFill>
                    <w14:schemeClr w14:val="tx1"/>
                  </w14:solidFill>
                </w14:textFill>
              </w:rPr>
              <w:t>5</w:t>
            </w:r>
            <w:r>
              <w:rPr>
                <w:rFonts w:hint="eastAsia" w:ascii="仿宋" w:hAnsi="仿宋" w:eastAsia="仿宋" w:cs="仿宋"/>
                <w:color w:val="000000" w:themeColor="text1"/>
                <w:szCs w:val="20"/>
                <w:highlight w:val="none"/>
                <w14:textFill>
                  <w14:solidFill>
                    <w14:schemeClr w14:val="tx1"/>
                  </w14:solidFill>
                </w14:textFill>
              </w:rPr>
              <w:t>）总价金额与按单价汇总金额不一致的，以单价金额计算结果为准。</w:t>
            </w:r>
          </w:p>
          <w:p w14:paraId="6D5B0F7D">
            <w:pPr>
              <w:spacing w:line="360" w:lineRule="auto"/>
              <w:jc w:val="left"/>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若供应商拒绝接受上述修正，将其视为无效响应。</w:t>
            </w:r>
          </w:p>
        </w:tc>
      </w:tr>
      <w:tr w14:paraId="33E781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2689" w:type="dxa"/>
            <w:tcBorders>
              <w:top w:val="single" w:color="auto" w:sz="6" w:space="0"/>
              <w:bottom w:val="single" w:color="auto" w:sz="6" w:space="0"/>
              <w:right w:val="single" w:color="auto" w:sz="6" w:space="0"/>
            </w:tcBorders>
            <w:noWrap/>
            <w:vAlign w:val="center"/>
          </w:tcPr>
          <w:p w14:paraId="717B002A">
            <w:pPr>
              <w:spacing w:line="360" w:lineRule="auto"/>
              <w:ind w:firstLine="420" w:firstLineChars="200"/>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入围候选供应商并列的确定入围供应商的方式</w:t>
            </w:r>
          </w:p>
        </w:tc>
        <w:tc>
          <w:tcPr>
            <w:tcW w:w="5903" w:type="dxa"/>
            <w:tcBorders>
              <w:top w:val="single" w:color="auto" w:sz="6" w:space="0"/>
              <w:left w:val="single" w:color="auto" w:sz="6" w:space="0"/>
              <w:bottom w:val="single" w:color="auto" w:sz="6" w:space="0"/>
              <w:right w:val="double" w:color="auto" w:sz="4" w:space="0"/>
            </w:tcBorders>
            <w:noWrap/>
            <w:vAlign w:val="center"/>
          </w:tcPr>
          <w:p w14:paraId="16C237E8">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遴选结果按评审后得分由高到低顺序排列。同一包号中，由评审委员会对供应商进行综合评分并作出排序；总得分相同的，按技术得分由高到低顺序排列；总得分、技术得分相同的，按价格得分由高到低顺序排列；总得分、技术得分、价格得分相同的，按商务得分由高到低顺序排列；上述得分均相同的，由采购人自行确定。</w:t>
            </w:r>
          </w:p>
        </w:tc>
      </w:tr>
      <w:tr w14:paraId="130EE4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2689" w:type="dxa"/>
            <w:tcBorders>
              <w:top w:val="single" w:color="auto" w:sz="6" w:space="0"/>
              <w:bottom w:val="single" w:color="auto" w:sz="6" w:space="0"/>
              <w:right w:val="single" w:color="auto" w:sz="6" w:space="0"/>
            </w:tcBorders>
            <w:noWrap/>
            <w:vAlign w:val="center"/>
          </w:tcPr>
          <w:p w14:paraId="535DB4CD">
            <w:pPr>
              <w:spacing w:line="360" w:lineRule="auto"/>
              <w:ind w:firstLine="420" w:firstLineChars="200"/>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无效遴选的规定</w:t>
            </w:r>
          </w:p>
        </w:tc>
        <w:tc>
          <w:tcPr>
            <w:tcW w:w="5903" w:type="dxa"/>
            <w:tcBorders>
              <w:top w:val="single" w:color="auto" w:sz="6" w:space="0"/>
              <w:left w:val="single" w:color="auto" w:sz="6" w:space="0"/>
              <w:bottom w:val="single" w:color="auto" w:sz="6" w:space="0"/>
              <w:right w:val="double" w:color="auto" w:sz="4" w:space="0"/>
            </w:tcBorders>
            <w:noWrap/>
            <w:vAlign w:val="center"/>
          </w:tcPr>
          <w:p w14:paraId="4CEDF3C3">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 xml:space="preserve">响应文件中除本章节符合性审查条款所述情况外，有下列情况之一的，也应在符合性检查时按照无效遴选处理： </w:t>
            </w:r>
          </w:p>
          <w:p w14:paraId="5FAD7121">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（1）响应文件载明的遴选范围小于遴选文件规定的遴选范围的(缺漏遴选文件所要求的内容)；</w:t>
            </w:r>
          </w:p>
          <w:p w14:paraId="1BD9F168">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（2）不符合法律、法规和遴选文件其他规定的实质性内容。</w:t>
            </w:r>
          </w:p>
        </w:tc>
      </w:tr>
      <w:tr w14:paraId="0905B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2689" w:type="dxa"/>
            <w:tcBorders>
              <w:top w:val="single" w:color="auto" w:sz="6" w:space="0"/>
              <w:bottom w:val="double" w:color="auto" w:sz="4" w:space="0"/>
              <w:right w:val="single" w:color="auto" w:sz="6" w:space="0"/>
            </w:tcBorders>
            <w:noWrap/>
            <w:vAlign w:val="center"/>
          </w:tcPr>
          <w:p w14:paraId="3D57FB77">
            <w:pPr>
              <w:spacing w:line="360" w:lineRule="auto"/>
              <w:ind w:firstLine="420" w:firstLineChars="200"/>
              <w:jc w:val="left"/>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废标的规定</w:t>
            </w:r>
          </w:p>
        </w:tc>
        <w:tc>
          <w:tcPr>
            <w:tcW w:w="5903" w:type="dxa"/>
            <w:tcBorders>
              <w:top w:val="single" w:color="auto" w:sz="6" w:space="0"/>
              <w:left w:val="single" w:color="auto" w:sz="6" w:space="0"/>
              <w:bottom w:val="double" w:color="auto" w:sz="4" w:space="0"/>
              <w:right w:val="double" w:color="auto" w:sz="4" w:space="0"/>
            </w:tcBorders>
            <w:noWrap/>
            <w:vAlign w:val="center"/>
          </w:tcPr>
          <w:p w14:paraId="7356DA3F">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 xml:space="preserve">有下列情形之一时，评审委员会应予废标： </w:t>
            </w:r>
          </w:p>
          <w:p w14:paraId="65FF90CE">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 xml:space="preserve">（1）符合专业条件的供应商或者对遴选文件作实质性响应的供应商不足三家的； </w:t>
            </w:r>
          </w:p>
          <w:p w14:paraId="18631AA9">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 xml:space="preserve">（2）出现影响采购公正的违法、违规行为的； </w:t>
            </w:r>
          </w:p>
          <w:p w14:paraId="2D02877C">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 xml:space="preserve">（3）供应商的报价均超过了采购最高限价； </w:t>
            </w:r>
          </w:p>
          <w:p w14:paraId="55145B77">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（4）因重大变故，采购任务取消的。</w:t>
            </w:r>
          </w:p>
        </w:tc>
      </w:tr>
      <w:bookmarkEnd w:id="54"/>
      <w:bookmarkEnd w:id="55"/>
      <w:bookmarkEnd w:id="56"/>
      <w:bookmarkEnd w:id="57"/>
      <w:bookmarkEnd w:id="58"/>
      <w:bookmarkEnd w:id="59"/>
      <w:bookmarkEnd w:id="60"/>
      <w:bookmarkEnd w:id="61"/>
      <w:bookmarkEnd w:id="62"/>
      <w:bookmarkEnd w:id="63"/>
      <w:bookmarkEnd w:id="64"/>
      <w:bookmarkEnd w:id="65"/>
    </w:tbl>
    <w:p w14:paraId="2F694EC4">
      <w:pPr>
        <w:spacing w:line="360" w:lineRule="auto"/>
        <w:rPr>
          <w:rFonts w:hint="eastAsia" w:ascii="仿宋" w:hAnsi="仿宋" w:eastAsia="仿宋" w:cs="仿宋"/>
          <w:b/>
          <w:bCs/>
          <w:color w:val="000000" w:themeColor="text1"/>
          <w:szCs w:val="20"/>
          <w:highlight w:val="none"/>
          <w14:textFill>
            <w14:solidFill>
              <w14:schemeClr w14:val="tx1"/>
            </w14:solidFill>
          </w14:textFill>
        </w:rPr>
      </w:pPr>
      <w:bookmarkStart w:id="68" w:name="_Hlk136507679"/>
      <w:bookmarkStart w:id="69" w:name="_Toc16358"/>
      <w:r>
        <w:rPr>
          <w:rFonts w:hint="eastAsia" w:ascii="仿宋" w:hAnsi="仿宋" w:eastAsia="仿宋" w:cs="仿宋"/>
          <w:b/>
          <w:bCs/>
          <w:color w:val="000000" w:themeColor="text1"/>
          <w:szCs w:val="20"/>
          <w:highlight w:val="none"/>
          <w14:textFill>
            <w14:solidFill>
              <w14:schemeClr w14:val="tx1"/>
            </w14:solidFill>
          </w14:textFill>
        </w:rPr>
        <w:br w:type="textWrapping"/>
      </w:r>
    </w:p>
    <w:p w14:paraId="3B315904">
      <w:pPr>
        <w:spacing w:line="240" w:lineRule="auto"/>
        <w:rPr>
          <w:rFonts w:hint="eastAsia" w:ascii="仿宋" w:hAnsi="仿宋" w:eastAsia="仿宋" w:cs="仿宋"/>
          <w:b/>
          <w:bCs/>
          <w:color w:val="000000" w:themeColor="text1"/>
          <w:szCs w:val="20"/>
          <w:highlight w:val="none"/>
          <w14:textFill>
            <w14:solidFill>
              <w14:schemeClr w14:val="tx1"/>
            </w14:solidFill>
          </w14:textFill>
        </w:rPr>
      </w:pPr>
      <w:r>
        <w:rPr>
          <w:rFonts w:hint="eastAsia" w:ascii="仿宋" w:hAnsi="仿宋" w:eastAsia="仿宋" w:cs="仿宋"/>
          <w:b/>
          <w:bCs/>
          <w:color w:val="000000" w:themeColor="text1"/>
          <w:szCs w:val="20"/>
          <w:highlight w:val="none"/>
          <w14:textFill>
            <w14:solidFill>
              <w14:schemeClr w14:val="tx1"/>
            </w14:solidFill>
          </w14:textFill>
        </w:rPr>
        <w:br w:type="page"/>
      </w:r>
    </w:p>
    <w:p w14:paraId="3C95E77F">
      <w:pPr>
        <w:spacing w:line="360" w:lineRule="auto"/>
        <w:rPr>
          <w:rFonts w:hint="eastAsia" w:ascii="仿宋" w:hAnsi="仿宋" w:eastAsia="仿宋" w:cs="仿宋"/>
          <w:b/>
          <w:bCs/>
          <w:color w:val="000000" w:themeColor="text1"/>
          <w:szCs w:val="20"/>
          <w:highlight w:val="none"/>
          <w14:textFill>
            <w14:solidFill>
              <w14:schemeClr w14:val="tx1"/>
            </w14:solidFill>
          </w14:textFill>
        </w:rPr>
      </w:pPr>
      <w:r>
        <w:rPr>
          <w:rFonts w:hint="eastAsia" w:ascii="仿宋" w:hAnsi="仿宋" w:eastAsia="仿宋" w:cs="仿宋"/>
          <w:b/>
          <w:bCs/>
          <w:color w:val="000000" w:themeColor="text1"/>
          <w:szCs w:val="20"/>
          <w:highlight w:val="none"/>
          <w14:textFill>
            <w14:solidFill>
              <w14:schemeClr w14:val="tx1"/>
            </w14:solidFill>
          </w14:textFill>
        </w:rPr>
        <w:t>1、资格审查主体</w:t>
      </w:r>
    </w:p>
    <w:p w14:paraId="5DDEC2B6">
      <w:pPr>
        <w:spacing w:line="360" w:lineRule="auto"/>
        <w:ind w:firstLine="422" w:firstLineChars="200"/>
        <w:rPr>
          <w:rFonts w:hint="eastAsia" w:ascii="仿宋" w:hAnsi="仿宋" w:eastAsia="仿宋" w:cs="仿宋"/>
          <w:b/>
          <w:bCs/>
          <w:color w:val="000000" w:themeColor="text1"/>
          <w:szCs w:val="20"/>
          <w:highlight w:val="none"/>
          <w14:textFill>
            <w14:solidFill>
              <w14:schemeClr w14:val="tx1"/>
            </w14:solidFill>
          </w14:textFill>
        </w:rPr>
      </w:pPr>
      <w:r>
        <w:rPr>
          <w:rFonts w:hint="eastAsia" w:ascii="仿宋" w:hAnsi="仿宋" w:eastAsia="仿宋" w:cs="仿宋"/>
          <w:b/>
          <w:bCs/>
          <w:color w:val="000000" w:themeColor="text1"/>
          <w:szCs w:val="20"/>
          <w:highlight w:val="none"/>
          <w14:textFill>
            <w14:solidFill>
              <w14:schemeClr w14:val="tx1"/>
            </w14:solidFill>
          </w14:textFill>
        </w:rPr>
        <w:t>1.1 资格审查主体：</w:t>
      </w:r>
      <w:r>
        <w:rPr>
          <w:rFonts w:hint="eastAsia" w:ascii="仿宋" w:hAnsi="仿宋" w:eastAsia="仿宋" w:cs="仿宋"/>
          <w:color w:val="000000" w:themeColor="text1"/>
          <w:highlight w:val="none"/>
          <w14:textFill>
            <w14:solidFill>
              <w14:schemeClr w14:val="tx1"/>
            </w14:solidFill>
          </w14:textFill>
        </w:rPr>
        <w:t>评审委员会</w:t>
      </w:r>
      <w:r>
        <w:rPr>
          <w:rFonts w:hint="eastAsia" w:ascii="仿宋" w:hAnsi="仿宋" w:eastAsia="仿宋" w:cs="仿宋"/>
          <w:b/>
          <w:bCs/>
          <w:color w:val="000000" w:themeColor="text1"/>
          <w:szCs w:val="20"/>
          <w:highlight w:val="none"/>
          <w14:textFill>
            <w14:solidFill>
              <w14:schemeClr w14:val="tx1"/>
            </w14:solidFill>
          </w14:textFill>
        </w:rPr>
        <w:t>负责资格审查。</w:t>
      </w:r>
    </w:p>
    <w:p w14:paraId="45E09636">
      <w:pPr>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b/>
          <w:bCs/>
          <w:color w:val="000000" w:themeColor="text1"/>
          <w:szCs w:val="20"/>
          <w:highlight w:val="none"/>
          <w14:textFill>
            <w14:solidFill>
              <w14:schemeClr w14:val="tx1"/>
            </w14:solidFill>
          </w14:textFill>
        </w:rPr>
        <w:t>2、资格审查</w:t>
      </w:r>
    </w:p>
    <w:p w14:paraId="53EF6424">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2.1 资格审查依据法律法规和遴选文件的规定，对响应文件中的资格证明文件、保证金、报价等进行审查，以确定供应商是否具备合格资格。</w:t>
      </w:r>
    </w:p>
    <w:p w14:paraId="21E1A0B5">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2.2 在资格审查时，供应商存在下列情况之一的，资格审查不合格，其响应无效：</w:t>
      </w:r>
    </w:p>
    <w:p w14:paraId="67DEFB3F">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（1）不具备遴选文件中规定的资格要求的，或提交的资格证明文件不符合遴选文件要求的；</w:t>
      </w:r>
    </w:p>
    <w:p w14:paraId="70598244">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（2）响应文件的资格证明文件未按照遴选文件要求进行签名、盖章的；</w:t>
      </w:r>
    </w:p>
    <w:p w14:paraId="2A149973">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w:t>
      </w:r>
      <w:r>
        <w:rPr>
          <w:rFonts w:hint="eastAsia" w:ascii="仿宋" w:hAnsi="仿宋" w:eastAsia="仿宋" w:cs="仿宋"/>
          <w:color w:val="000000" w:themeColor="text1"/>
          <w:szCs w:val="20"/>
          <w:highlight w:val="none"/>
          <w:lang w:val="en-US" w:eastAsia="zh-CN"/>
          <w14:textFill>
            <w14:solidFill>
              <w14:schemeClr w14:val="tx1"/>
            </w14:solidFill>
          </w14:textFill>
        </w:rPr>
        <w:t>3</w:t>
      </w:r>
      <w:r>
        <w:rPr>
          <w:rFonts w:hint="eastAsia" w:ascii="仿宋" w:hAnsi="仿宋" w:eastAsia="仿宋" w:cs="仿宋"/>
          <w:color w:val="000000" w:themeColor="text1"/>
          <w:szCs w:val="20"/>
          <w:highlight w:val="none"/>
          <w14:textFill>
            <w14:solidFill>
              <w14:schemeClr w14:val="tx1"/>
            </w14:solidFill>
          </w14:textFill>
        </w:rPr>
        <w:t>）法律、法规和遴选文件规定的其他无效情形的。</w:t>
      </w:r>
    </w:p>
    <w:p w14:paraId="734FA358">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2.3信用记录。</w:t>
      </w:r>
    </w:p>
    <w:p w14:paraId="498C099C">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2.3.</w:t>
      </w:r>
      <w:r>
        <w:rPr>
          <w:rFonts w:hint="eastAsia" w:ascii="仿宋" w:hAnsi="仿宋" w:eastAsia="仿宋" w:cs="仿宋"/>
          <w:color w:val="000000" w:themeColor="text1"/>
          <w:szCs w:val="20"/>
          <w:highlight w:val="none"/>
          <w:lang w:val="en-US" w:eastAsia="zh-CN"/>
          <w14:textFill>
            <w14:solidFill>
              <w14:schemeClr w14:val="tx1"/>
            </w14:solidFill>
          </w14:textFill>
        </w:rPr>
        <w:t>1</w:t>
      </w:r>
      <w:r>
        <w:rPr>
          <w:rFonts w:hint="eastAsia" w:ascii="仿宋" w:hAnsi="仿宋" w:eastAsia="仿宋" w:cs="仿宋"/>
          <w:color w:val="000000" w:themeColor="text1"/>
          <w:szCs w:val="20"/>
          <w:highlight w:val="none"/>
          <w14:textFill>
            <w14:solidFill>
              <w14:schemeClr w14:val="tx1"/>
            </w14:solidFill>
          </w14:textFill>
        </w:rPr>
        <w:t xml:space="preserve"> 查询网站为“信用中国”网站（www.creditchina.gov.cn）、中国政府采购网（www.ccgp.gov.cn）。</w:t>
      </w:r>
    </w:p>
    <w:p w14:paraId="1C597CE4">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2.3.</w:t>
      </w:r>
      <w:r>
        <w:rPr>
          <w:rFonts w:hint="eastAsia" w:ascii="仿宋" w:hAnsi="仿宋" w:eastAsia="仿宋" w:cs="仿宋"/>
          <w:color w:val="000000" w:themeColor="text1"/>
          <w:szCs w:val="20"/>
          <w:highlight w:val="none"/>
          <w:lang w:val="en-US" w:eastAsia="zh-CN"/>
          <w14:textFill>
            <w14:solidFill>
              <w14:schemeClr w14:val="tx1"/>
            </w14:solidFill>
          </w14:textFill>
        </w:rPr>
        <w:t>2</w:t>
      </w:r>
      <w:r>
        <w:rPr>
          <w:rFonts w:hint="eastAsia" w:ascii="仿宋" w:hAnsi="仿宋" w:eastAsia="仿宋" w:cs="仿宋"/>
          <w:color w:val="000000" w:themeColor="text1"/>
          <w:szCs w:val="20"/>
          <w:highlight w:val="none"/>
          <w14:textFill>
            <w14:solidFill>
              <w14:schemeClr w14:val="tx1"/>
            </w14:solidFill>
          </w14:textFill>
        </w:rPr>
        <w:t xml:space="preserve"> 不良信用记录是指：供应商在“信用中国”网站被列入失信被执行人和重大税收违法案件当事人名单，或在“中国政府采购网”网站被列入政府采购严重违法失信行为记录名单。供应商有上述不良信用记录的，其响应无效，其中，列入政府采购严重违法失信行为记录名单的，按处罚结果执行。</w:t>
      </w:r>
    </w:p>
    <w:p w14:paraId="4959E78E">
      <w:pPr>
        <w:spacing w:line="360" w:lineRule="auto"/>
        <w:rPr>
          <w:rFonts w:hint="eastAsia" w:ascii="仿宋" w:hAnsi="仿宋" w:eastAsia="仿宋" w:cs="仿宋"/>
          <w:b/>
          <w:bCs/>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lang w:eastAsia="zh-CN"/>
          <w14:textFill>
            <w14:solidFill>
              <w14:schemeClr w14:val="tx1"/>
            </w14:solidFill>
          </w14:textFill>
        </w:rPr>
        <w:t>、</w:t>
      </w:r>
      <w:r>
        <w:rPr>
          <w:rFonts w:hint="eastAsia" w:ascii="仿宋" w:hAnsi="仿宋" w:eastAsia="仿宋" w:cs="仿宋"/>
          <w:b/>
          <w:bCs/>
          <w:color w:val="000000" w:themeColor="text1"/>
          <w:szCs w:val="20"/>
          <w:highlight w:val="none"/>
          <w14:textFill>
            <w14:solidFill>
              <w14:schemeClr w14:val="tx1"/>
            </w14:solidFill>
          </w14:textFill>
        </w:rPr>
        <w:t>3、资格审查结果</w:t>
      </w:r>
    </w:p>
    <w:p w14:paraId="19151A11">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3.1 未通过资格审查的供应商，采购人、采购代理机构应当告知其未通过的原因。</w:t>
      </w:r>
    </w:p>
    <w:p w14:paraId="5995ABBB">
      <w:pPr>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3.2 资格审查结束后，</w:t>
      </w:r>
      <w:r>
        <w:rPr>
          <w:rFonts w:hint="eastAsia" w:ascii="仿宋" w:hAnsi="仿宋" w:eastAsia="仿宋" w:cs="仿宋"/>
          <w:color w:val="000000" w:themeColor="text1"/>
          <w:highlight w:val="none"/>
          <w14:textFill>
            <w14:solidFill>
              <w14:schemeClr w14:val="tx1"/>
            </w14:solidFill>
          </w14:textFill>
        </w:rPr>
        <w:t>评审委员会依法进行</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符合性审查</w:t>
      </w:r>
      <w:r>
        <w:rPr>
          <w:rFonts w:hint="eastAsia" w:ascii="仿宋" w:hAnsi="仿宋" w:eastAsia="仿宋" w:cs="仿宋"/>
          <w:color w:val="000000" w:themeColor="text1"/>
          <w:szCs w:val="20"/>
          <w:highlight w:val="none"/>
          <w14:textFill>
            <w14:solidFill>
              <w14:schemeClr w14:val="tx1"/>
            </w14:solidFill>
          </w14:textFill>
        </w:rPr>
        <w:t>。</w:t>
      </w:r>
    </w:p>
    <w:p w14:paraId="5DEA0F8E">
      <w:pPr>
        <w:adjustRightInd w:val="0"/>
        <w:snapToGrid w:val="0"/>
        <w:spacing w:line="360" w:lineRule="auto"/>
        <w:jc w:val="center"/>
        <w:rPr>
          <w:rFonts w:hint="eastAsia" w:ascii="仿宋" w:hAnsi="仿宋" w:eastAsia="仿宋" w:cs="仿宋"/>
          <w:b/>
          <w:color w:val="000000" w:themeColor="text1"/>
          <w:sz w:val="28"/>
          <w:szCs w:val="22"/>
          <w:highlight w:val="none"/>
          <w14:textFill>
            <w14:solidFill>
              <w14:schemeClr w14:val="tx1"/>
            </w14:solidFill>
          </w14:textFill>
        </w:rPr>
      </w:pPr>
      <w:r>
        <w:rPr>
          <w:rFonts w:hint="eastAsia" w:ascii="仿宋" w:hAnsi="仿宋" w:eastAsia="仿宋" w:cs="仿宋"/>
          <w:b/>
          <w:color w:val="000000" w:themeColor="text1"/>
          <w:sz w:val="28"/>
          <w:szCs w:val="22"/>
          <w:highlight w:val="none"/>
          <w14:textFill>
            <w14:solidFill>
              <w14:schemeClr w14:val="tx1"/>
            </w14:solidFill>
          </w14:textFill>
        </w:rPr>
        <w:br w:type="page"/>
      </w:r>
    </w:p>
    <w:p w14:paraId="7763A6A1">
      <w:pPr>
        <w:adjustRightInd w:val="0"/>
        <w:snapToGrid w:val="0"/>
        <w:spacing w:line="360" w:lineRule="auto"/>
        <w:jc w:val="center"/>
        <w:rPr>
          <w:rFonts w:hint="eastAsia" w:ascii="仿宋" w:hAnsi="仿宋" w:eastAsia="仿宋" w:cs="仿宋"/>
          <w:b/>
          <w:color w:val="000000" w:themeColor="text1"/>
          <w:sz w:val="28"/>
          <w:szCs w:val="22"/>
          <w:highlight w:val="none"/>
          <w14:textFill>
            <w14:solidFill>
              <w14:schemeClr w14:val="tx1"/>
            </w14:solidFill>
          </w14:textFill>
        </w:rPr>
      </w:pPr>
      <w:r>
        <w:rPr>
          <w:rFonts w:hint="eastAsia" w:ascii="仿宋" w:hAnsi="仿宋" w:eastAsia="仿宋" w:cs="仿宋"/>
          <w:b/>
          <w:color w:val="000000" w:themeColor="text1"/>
          <w:sz w:val="28"/>
          <w:szCs w:val="22"/>
          <w:highlight w:val="none"/>
          <w14:textFill>
            <w14:solidFill>
              <w14:schemeClr w14:val="tx1"/>
            </w14:solidFill>
          </w14:textFill>
        </w:rPr>
        <w:t>资格性审查表</w:t>
      </w:r>
    </w:p>
    <w:bookmarkEnd w:id="68"/>
    <w:tbl>
      <w:tblPr>
        <w:tblStyle w:val="36"/>
        <w:tblW w:w="9533" w:type="dxa"/>
        <w:jc w:val="center"/>
        <w:tblLayout w:type="fixed"/>
        <w:tblCellMar>
          <w:top w:w="0" w:type="dxa"/>
          <w:left w:w="108" w:type="dxa"/>
          <w:bottom w:w="0" w:type="dxa"/>
          <w:right w:w="108" w:type="dxa"/>
        </w:tblCellMar>
      </w:tblPr>
      <w:tblGrid>
        <w:gridCol w:w="688"/>
        <w:gridCol w:w="6899"/>
        <w:gridCol w:w="1946"/>
      </w:tblGrid>
      <w:tr w14:paraId="7BFA4663">
        <w:tblPrEx>
          <w:tblCellMar>
            <w:top w:w="0" w:type="dxa"/>
            <w:left w:w="108" w:type="dxa"/>
            <w:bottom w:w="0" w:type="dxa"/>
            <w:right w:w="108" w:type="dxa"/>
          </w:tblCellMar>
        </w:tblPrEx>
        <w:trPr>
          <w:trHeight w:val="608" w:hRule="atLeast"/>
          <w:tblHeader/>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7BE89E65">
            <w:pPr>
              <w:widowControl/>
              <w:jc w:val="center"/>
              <w:textAlignment w:val="center"/>
              <w:rPr>
                <w:rFonts w:hint="eastAsia" w:ascii="仿宋" w:hAnsi="仿宋" w:eastAsia="仿宋" w:cs="仿宋"/>
                <w:b/>
                <w:bCs/>
                <w:color w:val="000000" w:themeColor="text1"/>
                <w:highlight w:val="none"/>
                <w14:textFill>
                  <w14:solidFill>
                    <w14:schemeClr w14:val="tx1"/>
                  </w14:solidFill>
                </w14:textFill>
              </w:rPr>
            </w:pPr>
            <w:bookmarkStart w:id="70" w:name="_Toc31752"/>
            <w:bookmarkStart w:id="71" w:name="_Toc142404270"/>
            <w:r>
              <w:rPr>
                <w:rFonts w:hint="eastAsia" w:ascii="仿宋" w:hAnsi="仿宋" w:eastAsia="仿宋" w:cs="仿宋"/>
                <w:b/>
                <w:bCs/>
                <w:color w:val="000000" w:themeColor="text1"/>
                <w:kern w:val="0"/>
                <w:highlight w:val="none"/>
                <w14:textFill>
                  <w14:solidFill>
                    <w14:schemeClr w14:val="tx1"/>
                  </w14:solidFill>
                </w14:textFill>
              </w:rPr>
              <w:t>序号</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3D0D41D2">
            <w:pPr>
              <w:widowControl/>
              <w:jc w:val="center"/>
              <w:textAlignment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kern w:val="0"/>
                <w:highlight w:val="none"/>
                <w14:textFill>
                  <w14:solidFill>
                    <w14:schemeClr w14:val="tx1"/>
                  </w14:solidFill>
                </w14:textFill>
              </w:rPr>
              <w:t>审查项目</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0197FFEF">
            <w:pPr>
              <w:widowControl/>
              <w:jc w:val="center"/>
              <w:textAlignment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kern w:val="0"/>
                <w:highlight w:val="none"/>
                <w14:textFill>
                  <w14:solidFill>
                    <w14:schemeClr w14:val="tx1"/>
                  </w14:solidFill>
                </w14:textFill>
              </w:rPr>
              <w:t>审查标准</w:t>
            </w:r>
          </w:p>
        </w:tc>
      </w:tr>
      <w:tr w14:paraId="3E6EC947">
        <w:tblPrEx>
          <w:tblCellMar>
            <w:top w:w="0" w:type="dxa"/>
            <w:left w:w="108" w:type="dxa"/>
            <w:bottom w:w="0" w:type="dxa"/>
            <w:right w:w="108" w:type="dxa"/>
          </w:tblCellMar>
        </w:tblPrEx>
        <w:trPr>
          <w:trHeight w:val="46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6BF82D35">
            <w:pPr>
              <w:widowControl/>
              <w:jc w:val="center"/>
              <w:textAlignment w:val="center"/>
              <w:rPr>
                <w:rFonts w:hint="eastAsia" w:ascii="仿宋" w:hAnsi="仿宋" w:eastAsia="仿宋" w:cs="仿宋"/>
                <w:color w:val="000000" w:themeColor="text1"/>
                <w:kern w:val="0"/>
                <w:highlight w:val="none"/>
                <w:lang w:eastAsia="zh-CN"/>
                <w14:textFill>
                  <w14:solidFill>
                    <w14:schemeClr w14:val="tx1"/>
                  </w14:solidFill>
                </w14:textFill>
              </w:rPr>
            </w:pPr>
            <w:r>
              <w:rPr>
                <w:rFonts w:hint="eastAsia" w:ascii="仿宋" w:hAnsi="仿宋" w:eastAsia="仿宋" w:cs="仿宋"/>
                <w:color w:val="000000" w:themeColor="text1"/>
                <w:kern w:val="0"/>
                <w:highlight w:val="none"/>
                <w:lang w:val="en-US" w:eastAsia="zh-CN"/>
                <w14:textFill>
                  <w14:solidFill>
                    <w14:schemeClr w14:val="tx1"/>
                  </w14:solidFill>
                </w14:textFill>
              </w:rPr>
              <w:t>1</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555A9696">
            <w:pPr>
              <w:widowControl/>
              <w:adjustRightInd/>
              <w:snapToGrid/>
              <w:spacing w:before="0" w:beforeLines="-2147483648" w:line="240" w:lineRule="auto"/>
              <w:jc w:val="left"/>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Cs w:val="0"/>
                <w:color w:val="000000" w:themeColor="text1"/>
                <w:kern w:val="0"/>
                <w:sz w:val="21"/>
                <w:highlight w:val="none"/>
                <w14:textFill>
                  <w14:solidFill>
                    <w14:schemeClr w14:val="tx1"/>
                  </w14:solidFill>
                </w14:textFill>
              </w:rPr>
              <w:t>营业执照</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3B1C8492">
            <w:pPr>
              <w:widowControl/>
              <w:jc w:val="center"/>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合格/不合格</w:t>
            </w:r>
          </w:p>
        </w:tc>
      </w:tr>
      <w:tr w14:paraId="5E279987">
        <w:tblPrEx>
          <w:tblCellMar>
            <w:top w:w="0" w:type="dxa"/>
            <w:left w:w="108" w:type="dxa"/>
            <w:bottom w:w="0" w:type="dxa"/>
            <w:right w:w="108" w:type="dxa"/>
          </w:tblCellMar>
        </w:tblPrEx>
        <w:trPr>
          <w:trHeight w:val="7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08522D60">
            <w:pPr>
              <w:widowControl/>
              <w:jc w:val="center"/>
              <w:textAlignment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kern w:val="0"/>
                <w:highlight w:val="none"/>
                <w:lang w:val="en-US" w:eastAsia="zh-CN"/>
                <w14:textFill>
                  <w14:solidFill>
                    <w14:schemeClr w14:val="tx1"/>
                  </w14:solidFill>
                </w14:textFill>
              </w:rPr>
              <w:t>2</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43E6D221">
            <w:pPr>
              <w:widowControl/>
              <w:adjustRightInd/>
              <w:snapToGrid/>
              <w:spacing w:before="0" w:beforeLines="-2147483648" w:line="240" w:lineRule="auto"/>
              <w:jc w:val="left"/>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所投</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产品</w:t>
            </w:r>
            <w:r>
              <w:rPr>
                <w:rFonts w:hint="eastAsia" w:ascii="仿宋" w:hAnsi="仿宋" w:eastAsia="仿宋" w:cs="仿宋"/>
                <w:color w:val="000000" w:themeColor="text1"/>
                <w:kern w:val="0"/>
                <w:sz w:val="21"/>
                <w:szCs w:val="21"/>
                <w:highlight w:val="none"/>
                <w14:textFill>
                  <w14:solidFill>
                    <w14:schemeClr w14:val="tx1"/>
                  </w14:solidFill>
                </w14:textFill>
              </w:rPr>
              <w:t>生产或经营纳入行政管理的，供应商须具有相应的生产</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或</w:t>
            </w:r>
            <w:r>
              <w:rPr>
                <w:rFonts w:hint="eastAsia" w:ascii="仿宋" w:hAnsi="仿宋" w:eastAsia="仿宋" w:cs="仿宋"/>
                <w:color w:val="000000" w:themeColor="text1"/>
                <w:kern w:val="0"/>
                <w:sz w:val="21"/>
                <w:szCs w:val="21"/>
                <w:highlight w:val="none"/>
                <w14:textFill>
                  <w14:solidFill>
                    <w14:schemeClr w14:val="tx1"/>
                  </w14:solidFill>
                </w14:textFill>
              </w:rPr>
              <w:t>经营许可证</w:t>
            </w:r>
            <w:r>
              <w:rPr>
                <w:rFonts w:hint="eastAsia" w:ascii="仿宋" w:hAnsi="仿宋" w:eastAsia="仿宋" w:cs="仿宋"/>
                <w:bCs w:val="0"/>
                <w:color w:val="000000" w:themeColor="text1"/>
                <w:kern w:val="0"/>
                <w:sz w:val="21"/>
                <w:highlight w:val="none"/>
                <w:lang w:val="en-US" w:eastAsia="zh-CN"/>
                <w14:textFill>
                  <w14:solidFill>
                    <w14:schemeClr w14:val="tx1"/>
                  </w14:solidFill>
                </w14:textFill>
              </w:rPr>
              <w:t>。</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6EA5A6C5">
            <w:pPr>
              <w:widowControl/>
              <w:jc w:val="center"/>
              <w:textAlignment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合格/不合格</w:t>
            </w:r>
          </w:p>
        </w:tc>
      </w:tr>
      <w:tr w14:paraId="0D3C0EF0">
        <w:tblPrEx>
          <w:tblCellMar>
            <w:top w:w="0" w:type="dxa"/>
            <w:left w:w="108" w:type="dxa"/>
            <w:bottom w:w="0" w:type="dxa"/>
            <w:right w:w="108" w:type="dxa"/>
          </w:tblCellMar>
        </w:tblPrEx>
        <w:trPr>
          <w:trHeight w:val="624" w:hRule="atLeast"/>
          <w:jc w:val="center"/>
        </w:trPr>
        <w:tc>
          <w:tcPr>
            <w:tcW w:w="688" w:type="dxa"/>
            <w:tcBorders>
              <w:top w:val="single" w:color="auto" w:sz="4" w:space="0"/>
              <w:left w:val="single" w:color="000000" w:sz="4" w:space="0"/>
              <w:bottom w:val="single" w:color="000000" w:sz="4" w:space="0"/>
              <w:right w:val="single" w:color="000000" w:sz="4" w:space="0"/>
            </w:tcBorders>
            <w:noWrap/>
            <w:vAlign w:val="center"/>
          </w:tcPr>
          <w:p w14:paraId="70A806A4">
            <w:pPr>
              <w:widowControl/>
              <w:jc w:val="center"/>
              <w:textAlignment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c>
          <w:tcPr>
            <w:tcW w:w="6899" w:type="dxa"/>
            <w:tcBorders>
              <w:top w:val="single" w:color="auto" w:sz="4" w:space="0"/>
              <w:left w:val="single" w:color="000000" w:sz="4" w:space="0"/>
              <w:bottom w:val="single" w:color="000000" w:sz="4" w:space="0"/>
              <w:right w:val="single" w:color="000000" w:sz="4" w:space="0"/>
            </w:tcBorders>
            <w:noWrap/>
            <w:vAlign w:val="center"/>
          </w:tcPr>
          <w:p w14:paraId="006A0203">
            <w:pPr>
              <w:widowControl/>
              <w:adjustRightInd/>
              <w:snapToGrid/>
              <w:spacing w:before="0" w:beforeLines="-2147483648" w:line="240" w:lineRule="auto"/>
              <w:jc w:val="left"/>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所投</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产品</w:t>
            </w:r>
            <w:r>
              <w:rPr>
                <w:rFonts w:hint="eastAsia" w:ascii="仿宋" w:hAnsi="仿宋" w:eastAsia="仿宋" w:cs="仿宋"/>
                <w:color w:val="000000" w:themeColor="text1"/>
                <w:kern w:val="0"/>
                <w:sz w:val="21"/>
                <w:szCs w:val="21"/>
                <w:highlight w:val="none"/>
                <w14:textFill>
                  <w14:solidFill>
                    <w14:schemeClr w14:val="tx1"/>
                  </w14:solidFill>
                </w14:textFill>
              </w:rPr>
              <w:t>纳入中华人民共和国医疗器械监督管理的，供应商须提供所投产品有效的医疗器械备案凭证（适用于第一类）或医疗器械注册证（适用于第二类、第三类）。</w:t>
            </w:r>
          </w:p>
        </w:tc>
        <w:tc>
          <w:tcPr>
            <w:tcW w:w="1946" w:type="dxa"/>
            <w:tcBorders>
              <w:top w:val="single" w:color="auto" w:sz="4" w:space="0"/>
              <w:left w:val="single" w:color="000000" w:sz="4" w:space="0"/>
              <w:bottom w:val="single" w:color="000000" w:sz="4" w:space="0"/>
              <w:right w:val="single" w:color="000000" w:sz="4" w:space="0"/>
            </w:tcBorders>
            <w:noWrap/>
            <w:vAlign w:val="center"/>
          </w:tcPr>
          <w:p w14:paraId="01BAB433">
            <w:pPr>
              <w:widowControl/>
              <w:jc w:val="center"/>
              <w:textAlignment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合格/不合格</w:t>
            </w:r>
          </w:p>
        </w:tc>
      </w:tr>
      <w:tr w14:paraId="17EA9B21">
        <w:tblPrEx>
          <w:tblCellMar>
            <w:top w:w="0" w:type="dxa"/>
            <w:left w:w="108" w:type="dxa"/>
            <w:bottom w:w="0" w:type="dxa"/>
            <w:right w:w="108" w:type="dxa"/>
          </w:tblCellMar>
        </w:tblPrEx>
        <w:trPr>
          <w:trHeight w:val="453" w:hRule="atLeast"/>
          <w:jc w:val="center"/>
        </w:trPr>
        <w:tc>
          <w:tcPr>
            <w:tcW w:w="688" w:type="dxa"/>
            <w:tcBorders>
              <w:top w:val="single" w:color="auto" w:sz="4" w:space="0"/>
              <w:left w:val="single" w:color="000000" w:sz="4" w:space="0"/>
              <w:bottom w:val="single" w:color="000000" w:sz="4" w:space="0"/>
              <w:right w:val="single" w:color="000000" w:sz="4" w:space="0"/>
            </w:tcBorders>
            <w:noWrap/>
            <w:vAlign w:val="center"/>
          </w:tcPr>
          <w:p w14:paraId="33A09090">
            <w:pPr>
              <w:widowControl/>
              <w:jc w:val="center"/>
              <w:textAlignment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6899" w:type="dxa"/>
            <w:tcBorders>
              <w:top w:val="single" w:color="auto" w:sz="4" w:space="0"/>
              <w:left w:val="single" w:color="000000" w:sz="4" w:space="0"/>
              <w:bottom w:val="single" w:color="000000" w:sz="4" w:space="0"/>
              <w:right w:val="single" w:color="000000" w:sz="4" w:space="0"/>
            </w:tcBorders>
            <w:noWrap/>
            <w:vAlign w:val="center"/>
          </w:tcPr>
          <w:p w14:paraId="1FFE0E40">
            <w:pPr>
              <w:adjustRightInd w:val="0"/>
              <w:snapToGrid w:val="0"/>
              <w:spacing w:before="120" w:beforeLines="50" w:line="360" w:lineRule="auto"/>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Cs w:val="0"/>
                <w:color w:val="000000" w:themeColor="text1"/>
                <w:kern w:val="0"/>
                <w:sz w:val="21"/>
                <w:szCs w:val="21"/>
                <w:highlight w:val="none"/>
                <w:lang w:val="en-US" w:eastAsia="zh-CN"/>
                <w14:textFill>
                  <w14:solidFill>
                    <w14:schemeClr w14:val="tx1"/>
                  </w14:solidFill>
                </w14:textFill>
              </w:rPr>
              <w:t>所投产品属于</w:t>
            </w:r>
            <w:r>
              <w:rPr>
                <w:rFonts w:hint="eastAsia" w:ascii="仿宋" w:hAnsi="仿宋" w:eastAsia="仿宋" w:cs="仿宋"/>
                <w:bCs w:val="0"/>
                <w:color w:val="000000" w:themeColor="text1"/>
                <w:kern w:val="0"/>
                <w:sz w:val="21"/>
                <w:szCs w:val="21"/>
                <w:highlight w:val="none"/>
                <w14:textFill>
                  <w14:solidFill>
                    <w14:schemeClr w14:val="tx1"/>
                  </w14:solidFill>
                </w14:textFill>
              </w:rPr>
              <w:t>湖南省药品和医用耗材招采</w:t>
            </w:r>
            <w:r>
              <w:rPr>
                <w:rFonts w:hint="eastAsia" w:ascii="仿宋" w:hAnsi="仿宋" w:eastAsia="仿宋" w:cs="仿宋"/>
                <w:bCs w:val="0"/>
                <w:color w:val="000000" w:themeColor="text1"/>
                <w:kern w:val="0"/>
                <w:sz w:val="21"/>
                <w:szCs w:val="21"/>
                <w:highlight w:val="none"/>
                <w:lang w:val="en-US" w:eastAsia="zh-CN"/>
                <w14:textFill>
                  <w14:solidFill>
                    <w14:schemeClr w14:val="tx1"/>
                  </w14:solidFill>
                </w14:textFill>
              </w:rPr>
              <w:t>子</w:t>
            </w:r>
            <w:r>
              <w:rPr>
                <w:rFonts w:hint="eastAsia" w:ascii="仿宋" w:hAnsi="仿宋" w:eastAsia="仿宋" w:cs="仿宋"/>
                <w:bCs w:val="0"/>
                <w:color w:val="000000" w:themeColor="text1"/>
                <w:kern w:val="0"/>
                <w:sz w:val="21"/>
                <w:szCs w:val="21"/>
                <w:highlight w:val="none"/>
                <w14:textFill>
                  <w14:solidFill>
                    <w14:schemeClr w14:val="tx1"/>
                  </w14:solidFill>
                </w14:textFill>
              </w:rPr>
              <w:t>系统挂网（备案）产品，出具截图或凭证</w:t>
            </w:r>
          </w:p>
        </w:tc>
        <w:tc>
          <w:tcPr>
            <w:tcW w:w="1946" w:type="dxa"/>
            <w:tcBorders>
              <w:top w:val="single" w:color="auto" w:sz="4" w:space="0"/>
              <w:left w:val="single" w:color="000000" w:sz="4" w:space="0"/>
              <w:bottom w:val="single" w:color="000000" w:sz="4" w:space="0"/>
              <w:right w:val="single" w:color="000000" w:sz="4" w:space="0"/>
            </w:tcBorders>
            <w:noWrap/>
            <w:vAlign w:val="center"/>
          </w:tcPr>
          <w:p w14:paraId="53839F70">
            <w:pPr>
              <w:widowControl/>
              <w:jc w:val="center"/>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合格/不合格</w:t>
            </w:r>
          </w:p>
        </w:tc>
      </w:tr>
      <w:tr w14:paraId="5CF56CDA">
        <w:tblPrEx>
          <w:tblCellMar>
            <w:top w:w="0" w:type="dxa"/>
            <w:left w:w="108" w:type="dxa"/>
            <w:bottom w:w="0" w:type="dxa"/>
            <w:right w:w="108" w:type="dxa"/>
          </w:tblCellMar>
        </w:tblPrEx>
        <w:trPr>
          <w:trHeight w:val="5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6D1CA20D">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23A97CAB">
            <w:pPr>
              <w:widowControl/>
              <w:jc w:val="left"/>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Cs w:val="0"/>
                <w:color w:val="000000" w:themeColor="text1"/>
                <w:kern w:val="0"/>
                <w:sz w:val="21"/>
                <w:highlight w:val="none"/>
                <w14:textFill>
                  <w14:solidFill>
                    <w14:schemeClr w14:val="tx1"/>
                  </w14:solidFill>
                </w14:textFill>
              </w:rPr>
              <w:t>参加入围遴选活动前三年内，在经营活动中没有重大违法记录的说明</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57E9FC6B">
            <w:pPr>
              <w:widowControl/>
              <w:jc w:val="center"/>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合格/不合格</w:t>
            </w:r>
          </w:p>
        </w:tc>
      </w:tr>
      <w:tr w14:paraId="01C670B8">
        <w:tblPrEx>
          <w:tblCellMar>
            <w:top w:w="0" w:type="dxa"/>
            <w:left w:w="108" w:type="dxa"/>
            <w:bottom w:w="0" w:type="dxa"/>
            <w:right w:w="108" w:type="dxa"/>
          </w:tblCellMar>
        </w:tblPrEx>
        <w:trPr>
          <w:trHeight w:val="5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0C1D7105">
            <w:pPr>
              <w:widowControl/>
              <w:jc w:val="center"/>
              <w:textAlignment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04E9726E">
            <w:pPr>
              <w:widowControl/>
              <w:jc w:val="left"/>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本项目不接受联合体入围遴选申请</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54A2C759">
            <w:pPr>
              <w:widowControl/>
              <w:jc w:val="center"/>
              <w:textAlignment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合格/不合格</w:t>
            </w:r>
          </w:p>
        </w:tc>
      </w:tr>
      <w:tr w14:paraId="19319E2E">
        <w:tblPrEx>
          <w:tblCellMar>
            <w:top w:w="0" w:type="dxa"/>
            <w:left w:w="108" w:type="dxa"/>
            <w:bottom w:w="0" w:type="dxa"/>
            <w:right w:w="108" w:type="dxa"/>
          </w:tblCellMar>
        </w:tblPrEx>
        <w:trPr>
          <w:trHeight w:val="553"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3414AED5">
            <w:pPr>
              <w:widowControl/>
              <w:jc w:val="center"/>
              <w:textAlignment w:val="center"/>
              <w:rPr>
                <w:rFonts w:hint="eastAsia" w:ascii="仿宋" w:hAnsi="仿宋" w:eastAsia="仿宋" w:cs="仿宋"/>
                <w:color w:val="000000" w:themeColor="text1"/>
                <w:kern w:val="0"/>
                <w:highlight w:val="none"/>
                <w:lang w:eastAsia="zh-CN"/>
                <w14:textFill>
                  <w14:solidFill>
                    <w14:schemeClr w14:val="tx1"/>
                  </w14:solidFill>
                </w14:textFill>
              </w:rPr>
            </w:pPr>
            <w:r>
              <w:rPr>
                <w:rFonts w:hint="eastAsia" w:ascii="仿宋" w:hAnsi="仿宋" w:eastAsia="仿宋" w:cs="仿宋"/>
                <w:color w:val="000000" w:themeColor="text1"/>
                <w:kern w:val="0"/>
                <w:highlight w:val="none"/>
                <w:lang w:val="en-US" w:eastAsia="zh-CN"/>
                <w14:textFill>
                  <w14:solidFill>
                    <w14:schemeClr w14:val="tx1"/>
                  </w14:solidFill>
                </w14:textFill>
              </w:rPr>
              <w:t>7</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27523E02">
            <w:pPr>
              <w:widowControl/>
              <w:jc w:val="left"/>
              <w:textAlignment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符合法律、法规规定的其他条件。</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001615CC">
            <w:pPr>
              <w:widowControl/>
              <w:jc w:val="center"/>
              <w:textAlignment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合格/不合格</w:t>
            </w:r>
          </w:p>
        </w:tc>
      </w:tr>
    </w:tbl>
    <w:p w14:paraId="3465587D">
      <w:pPr>
        <w:keepNext/>
        <w:keepLines/>
        <w:widowControl/>
        <w:spacing w:before="260" w:after="260" w:line="416" w:lineRule="auto"/>
        <w:jc w:val="center"/>
        <w:outlineLvl w:val="1"/>
        <w:rPr>
          <w:rStyle w:val="198"/>
          <w:rFonts w:hint="eastAsia" w:ascii="仿宋" w:hAnsi="仿宋" w:eastAsia="仿宋" w:cs="仿宋"/>
          <w:color w:val="000000" w:themeColor="text1"/>
          <w:sz w:val="32"/>
          <w:szCs w:val="20"/>
          <w:highlight w:val="none"/>
          <w14:textFill>
            <w14:solidFill>
              <w14:schemeClr w14:val="tx1"/>
            </w14:solidFill>
          </w14:textFill>
        </w:rPr>
      </w:pPr>
      <w:r>
        <w:rPr>
          <w:rStyle w:val="198"/>
          <w:rFonts w:hint="eastAsia" w:ascii="仿宋" w:hAnsi="仿宋" w:eastAsia="仿宋" w:cs="仿宋"/>
          <w:color w:val="000000" w:themeColor="text1"/>
          <w:szCs w:val="22"/>
          <w:highlight w:val="none"/>
          <w14:textFill>
            <w14:solidFill>
              <w14:schemeClr w14:val="tx1"/>
            </w14:solidFill>
          </w14:textFill>
        </w:rPr>
        <w:br w:type="page"/>
      </w:r>
    </w:p>
    <w:p w14:paraId="2F008695">
      <w:pPr>
        <w:snapToGrid w:val="0"/>
        <w:jc w:val="center"/>
        <w:outlineLvl w:val="0"/>
        <w:rPr>
          <w:rStyle w:val="198"/>
          <w:rFonts w:hint="eastAsia" w:ascii="仿宋" w:hAnsi="仿宋" w:eastAsia="仿宋" w:cs="仿宋"/>
          <w:b/>
          <w:bCs/>
          <w:color w:val="000000" w:themeColor="text1"/>
          <w:sz w:val="32"/>
          <w:szCs w:val="22"/>
          <w:highlight w:val="none"/>
          <w14:textFill>
            <w14:solidFill>
              <w14:schemeClr w14:val="tx1"/>
            </w14:solidFill>
          </w14:textFill>
        </w:rPr>
      </w:pPr>
      <w:bookmarkStart w:id="72" w:name="_Toc1220"/>
      <w:bookmarkStart w:id="73" w:name="_Toc32526"/>
      <w:bookmarkStart w:id="74" w:name="_Toc25062"/>
      <w:bookmarkStart w:id="75" w:name="_Toc11602"/>
      <w:bookmarkStart w:id="76" w:name="_Toc7409"/>
      <w:bookmarkStart w:id="77" w:name="_Toc14154"/>
      <w:bookmarkStart w:id="78" w:name="_Toc6227"/>
      <w:bookmarkStart w:id="79" w:name="_Toc6308"/>
      <w:bookmarkStart w:id="80" w:name="_Toc5071"/>
      <w:bookmarkStart w:id="81" w:name="_Toc5495"/>
      <w:bookmarkStart w:id="82" w:name="_Toc21809"/>
      <w:bookmarkStart w:id="83" w:name="_Toc1234"/>
      <w:r>
        <w:rPr>
          <w:rStyle w:val="198"/>
          <w:rFonts w:hint="eastAsia" w:ascii="仿宋" w:hAnsi="仿宋" w:eastAsia="仿宋" w:cs="仿宋"/>
          <w:b/>
          <w:bCs/>
          <w:color w:val="000000" w:themeColor="text1"/>
          <w:sz w:val="32"/>
          <w:szCs w:val="22"/>
          <w:highlight w:val="none"/>
          <w14:textFill>
            <w14:solidFill>
              <w14:schemeClr w14:val="tx1"/>
            </w14:solidFill>
          </w14:textFill>
        </w:rPr>
        <w:t>第二节 遴选方法及标准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237CD6F">
      <w:pPr>
        <w:adjustRightInd w:val="0"/>
        <w:snapToGrid w:val="0"/>
        <w:spacing w:line="400" w:lineRule="exact"/>
        <w:ind w:firstLine="422" w:firstLineChars="20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一、总则</w:t>
      </w:r>
    </w:p>
    <w:p w14:paraId="71D0E3DA">
      <w:pPr>
        <w:adjustRightInd w:val="0"/>
        <w:snapToGrid w:val="0"/>
        <w:spacing w:line="400" w:lineRule="exact"/>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1、评审委员会</w:t>
      </w:r>
    </w:p>
    <w:p w14:paraId="0106B4C2">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1.1 </w:t>
      </w:r>
      <w:r>
        <w:rPr>
          <w:rFonts w:hint="eastAsia" w:ascii="仿宋" w:hAnsi="仿宋" w:eastAsia="仿宋" w:cs="仿宋"/>
          <w:color w:val="000000" w:themeColor="text1"/>
          <w:highlight w:val="none"/>
          <w14:textFill>
            <w14:solidFill>
              <w14:schemeClr w14:val="tx1"/>
            </w14:solidFill>
          </w14:textFill>
        </w:rPr>
        <w:t>评审委员会人数：3人</w:t>
      </w:r>
    </w:p>
    <w:p w14:paraId="75C21BCD">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评审委员会成员确定方式：参考医院采购制度要求组成。</w:t>
      </w:r>
    </w:p>
    <w:p w14:paraId="32B1802F">
      <w:pPr>
        <w:adjustRightInd w:val="0"/>
        <w:snapToGrid w:val="0"/>
        <w:spacing w:line="400" w:lineRule="exact"/>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2、评审方法</w:t>
      </w:r>
    </w:p>
    <w:p w14:paraId="5E8F5687">
      <w:pPr>
        <w:adjustRightInd w:val="0"/>
        <w:snapToGrid w:val="0"/>
        <w:spacing w:line="400" w:lineRule="exact"/>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2.1评审方法：综合评分法。</w:t>
      </w:r>
    </w:p>
    <w:p w14:paraId="3BF74F83">
      <w:pPr>
        <w:adjustRightInd w:val="0"/>
        <w:snapToGrid w:val="0"/>
        <w:spacing w:line="400" w:lineRule="exact"/>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评审因素：价格、技术、商务及对遴选文件的响应程度，以及相应的比重或者权值等，但不包括第四章“遴选须知”第2.3</w:t>
      </w:r>
      <w:r>
        <w:rPr>
          <w:rFonts w:hint="eastAsia" w:ascii="仿宋" w:hAnsi="仿宋" w:eastAsia="仿宋" w:cs="仿宋"/>
          <w:bCs/>
          <w:color w:val="000000" w:themeColor="text1"/>
          <w:highlight w:val="none"/>
          <w:lang w:val="zh-CN"/>
          <w14:textFill>
            <w14:solidFill>
              <w14:schemeClr w14:val="tx1"/>
            </w14:solidFill>
          </w14:textFill>
        </w:rPr>
        <w:t>款</w:t>
      </w:r>
      <w:r>
        <w:rPr>
          <w:rFonts w:hint="eastAsia" w:ascii="仿宋" w:hAnsi="仿宋" w:eastAsia="仿宋" w:cs="仿宋"/>
          <w:bCs/>
          <w:color w:val="000000" w:themeColor="text1"/>
          <w:highlight w:val="none"/>
          <w14:textFill>
            <w14:solidFill>
              <w14:schemeClr w14:val="tx1"/>
            </w14:solidFill>
          </w14:textFill>
        </w:rPr>
        <w:t>规定的供应商资格条件。</w:t>
      </w:r>
    </w:p>
    <w:p w14:paraId="19B21F99">
      <w:pPr>
        <w:tabs>
          <w:tab w:val="left" w:pos="0"/>
        </w:tabs>
        <w:adjustRightInd w:val="0"/>
        <w:snapToGrid w:val="0"/>
        <w:spacing w:line="440" w:lineRule="exact"/>
        <w:jc w:val="center"/>
        <w:rPr>
          <w:rFonts w:hint="eastAsia" w:ascii="仿宋" w:hAnsi="仿宋" w:eastAsia="仿宋" w:cs="仿宋"/>
          <w:b/>
          <w:color w:val="000000" w:themeColor="text1"/>
          <w:kern w:val="0"/>
          <w:highlight w:val="none"/>
          <w14:textFill>
            <w14:solidFill>
              <w14:schemeClr w14:val="tx1"/>
            </w14:solidFill>
          </w14:textFill>
        </w:rPr>
      </w:pPr>
    </w:p>
    <w:p w14:paraId="6172DD3D">
      <w:pPr>
        <w:tabs>
          <w:tab w:val="left" w:pos="0"/>
        </w:tabs>
        <w:adjustRightInd w:val="0"/>
        <w:snapToGrid w:val="0"/>
        <w:spacing w:line="440" w:lineRule="exact"/>
        <w:jc w:val="center"/>
        <w:rPr>
          <w:rFonts w:hint="eastAsia" w:ascii="仿宋" w:hAnsi="仿宋" w:eastAsia="仿宋" w:cs="仿宋"/>
          <w:b/>
          <w:color w:val="000000" w:themeColor="text1"/>
          <w:kern w:val="0"/>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二、评审程序</w:t>
      </w:r>
    </w:p>
    <w:p w14:paraId="0E9E50E5">
      <w:pPr>
        <w:tabs>
          <w:tab w:val="left" w:pos="0"/>
        </w:tabs>
        <w:adjustRightInd w:val="0"/>
        <w:snapToGrid w:val="0"/>
        <w:spacing w:line="440" w:lineRule="exact"/>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3、响应文件的初步评审</w:t>
      </w:r>
    </w:p>
    <w:p w14:paraId="6A920B99">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资格审查结束后，评审委员会依法进行响应文件符合性。评审委员会依据遴选文件的规定，从响应文件的有效性、完整性和对遴选文件的响应程度进行审查，以确定是否对遴选文件的实质性要求作出响应。评审委员会决定响应文件的响应性只根据响应文件真实无误的内容，而不依据外部的证据，但响应文件有不真实、不正确的内容时除外。</w:t>
      </w:r>
    </w:p>
    <w:p w14:paraId="7FD3E570">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供应商不得通过修正或撤销不合要求的偏离从而使其入围申请成为实质上响应的申请。</w:t>
      </w:r>
    </w:p>
    <w:p w14:paraId="7F15F95D">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 响应文件属下列情况之一的，应当在符合性检查时按照无效申请处理：</w:t>
      </w:r>
    </w:p>
    <w:p w14:paraId="090C5269">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（1）未按照遴选文件规定要求签署、盖章的；</w:t>
      </w:r>
    </w:p>
    <w:p w14:paraId="38C22FBB">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（2）遴选报价超过包号预算限价的；</w:t>
      </w:r>
    </w:p>
    <w:p w14:paraId="0CADEB82">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（3）对遴选文件实质性条款响应程度不足；</w:t>
      </w:r>
    </w:p>
    <w:p w14:paraId="07309426">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（4）入围遴选有效期不足的；</w:t>
      </w:r>
    </w:p>
    <w:p w14:paraId="6DB038F0">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（5）不符合法律、法规和遴选文件规定的其他无效情形的。</w:t>
      </w:r>
    </w:p>
    <w:p w14:paraId="1C8545CD">
      <w:pPr>
        <w:adjustRightInd w:val="0"/>
        <w:snapToGrid w:val="0"/>
        <w:spacing w:line="400" w:lineRule="exact"/>
        <w:ind w:firstLine="562" w:firstLineChars="200"/>
        <w:jc w:val="center"/>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符合性审查表</w:t>
      </w:r>
    </w:p>
    <w:tbl>
      <w:tblPr>
        <w:tblStyle w:val="36"/>
        <w:tblW w:w="8858" w:type="dxa"/>
        <w:tblInd w:w="99" w:type="dxa"/>
        <w:tblLayout w:type="fixed"/>
        <w:tblCellMar>
          <w:top w:w="0" w:type="dxa"/>
          <w:left w:w="108" w:type="dxa"/>
          <w:bottom w:w="0" w:type="dxa"/>
          <w:right w:w="108" w:type="dxa"/>
        </w:tblCellMar>
      </w:tblPr>
      <w:tblGrid>
        <w:gridCol w:w="924"/>
        <w:gridCol w:w="6156"/>
        <w:gridCol w:w="1778"/>
      </w:tblGrid>
      <w:tr w14:paraId="0349CA6B">
        <w:tblPrEx>
          <w:tblCellMar>
            <w:top w:w="0" w:type="dxa"/>
            <w:left w:w="108" w:type="dxa"/>
            <w:bottom w:w="0" w:type="dxa"/>
            <w:right w:w="108" w:type="dxa"/>
          </w:tblCellMar>
        </w:tblPrEx>
        <w:trPr>
          <w:trHeight w:val="510" w:hRule="atLeast"/>
          <w:tblHeader/>
        </w:trPr>
        <w:tc>
          <w:tcPr>
            <w:tcW w:w="924" w:type="dxa"/>
            <w:tcBorders>
              <w:top w:val="single" w:color="000000" w:sz="4" w:space="0"/>
              <w:left w:val="single" w:color="000000" w:sz="4" w:space="0"/>
              <w:bottom w:val="single" w:color="000000" w:sz="4" w:space="0"/>
              <w:right w:val="single" w:color="000000" w:sz="4" w:space="0"/>
            </w:tcBorders>
            <w:noWrap/>
            <w:vAlign w:val="center"/>
          </w:tcPr>
          <w:p w14:paraId="1B9512E1">
            <w:pPr>
              <w:widowControl/>
              <w:spacing w:line="360" w:lineRule="auto"/>
              <w:jc w:val="center"/>
              <w:textAlignment w:val="center"/>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序号</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2AB89EF0">
            <w:pPr>
              <w:widowControl/>
              <w:spacing w:line="360" w:lineRule="auto"/>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审查项目</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23BB3B7B">
            <w:pPr>
              <w:widowControl/>
              <w:spacing w:line="360" w:lineRule="auto"/>
              <w:jc w:val="center"/>
              <w:textAlignment w:val="center"/>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b/>
                <w:bCs/>
                <w:color w:val="000000" w:themeColor="text1"/>
                <w:kern w:val="0"/>
                <w:sz w:val="22"/>
                <w:szCs w:val="22"/>
                <w:highlight w:val="none"/>
                <w14:textFill>
                  <w14:solidFill>
                    <w14:schemeClr w14:val="tx1"/>
                  </w14:solidFill>
                </w14:textFill>
              </w:rPr>
              <w:t>审查标准</w:t>
            </w:r>
          </w:p>
        </w:tc>
      </w:tr>
      <w:tr w14:paraId="45E48CBA">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60386985">
            <w:pPr>
              <w:widowControl/>
              <w:spacing w:line="360" w:lineRule="auto"/>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1</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35C30660">
            <w:pPr>
              <w:widowControl/>
              <w:spacing w:line="360" w:lineRule="auto"/>
              <w:jc w:val="left"/>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按照遴选文件规定要求签署、盖章的</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12AFFFF9">
            <w:pPr>
              <w:widowControl/>
              <w:spacing w:line="360" w:lineRule="auto"/>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合格/不合格</w:t>
            </w:r>
          </w:p>
        </w:tc>
      </w:tr>
      <w:tr w14:paraId="21F315F2">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3EACE7BC">
            <w:pPr>
              <w:widowControl/>
              <w:spacing w:line="360" w:lineRule="auto"/>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2</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40193229">
            <w:pPr>
              <w:widowControl/>
              <w:spacing w:line="360" w:lineRule="auto"/>
              <w:jc w:val="left"/>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遴选报价未超遴选限价</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562F5B20">
            <w:pPr>
              <w:widowControl/>
              <w:spacing w:line="360" w:lineRule="auto"/>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合格/不合格</w:t>
            </w:r>
          </w:p>
        </w:tc>
      </w:tr>
      <w:tr w14:paraId="171C5406">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1DE5F7FC">
            <w:pPr>
              <w:widowControl/>
              <w:spacing w:line="360" w:lineRule="auto"/>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3</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029FDE43">
            <w:pPr>
              <w:widowControl/>
              <w:spacing w:line="360" w:lineRule="auto"/>
              <w:jc w:val="left"/>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对遴选文件实质性条款</w:t>
            </w:r>
            <w:r>
              <w:rPr>
                <w:rFonts w:hint="eastAsia" w:ascii="仿宋" w:hAnsi="仿宋" w:eastAsia="仿宋" w:cs="仿宋"/>
                <w:color w:val="000000" w:themeColor="text1"/>
                <w:kern w:val="0"/>
                <w:sz w:val="22"/>
                <w:szCs w:val="22"/>
                <w:highlight w:val="none"/>
                <w14:textFill>
                  <w14:solidFill>
                    <w14:schemeClr w14:val="tx1"/>
                  </w14:solidFill>
                </w14:textFill>
              </w:rPr>
              <w:t>及★条款</w:t>
            </w:r>
            <w:r>
              <w:rPr>
                <w:rFonts w:hint="eastAsia" w:ascii="仿宋" w:hAnsi="仿宋" w:eastAsia="仿宋" w:cs="仿宋"/>
                <w:color w:val="000000" w:themeColor="text1"/>
                <w:sz w:val="22"/>
                <w:szCs w:val="22"/>
                <w:highlight w:val="none"/>
                <w14:textFill>
                  <w14:solidFill>
                    <w14:schemeClr w14:val="tx1"/>
                  </w14:solidFill>
                </w14:textFill>
              </w:rPr>
              <w:t>响应</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3A5D6715">
            <w:pPr>
              <w:widowControl/>
              <w:spacing w:line="360" w:lineRule="auto"/>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合格/不合格</w:t>
            </w:r>
          </w:p>
        </w:tc>
      </w:tr>
      <w:tr w14:paraId="396DA8A9">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027AFBAD">
            <w:pPr>
              <w:widowControl/>
              <w:spacing w:line="360" w:lineRule="auto"/>
              <w:jc w:val="center"/>
              <w:textAlignment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4</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7CBE288E">
            <w:pPr>
              <w:widowControl/>
              <w:spacing w:line="360" w:lineRule="auto"/>
              <w:jc w:val="left"/>
              <w:textAlignment w:val="center"/>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入围遴选有效期</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60B5F593">
            <w:pPr>
              <w:widowControl/>
              <w:spacing w:line="360" w:lineRule="auto"/>
              <w:jc w:val="center"/>
              <w:textAlignment w:val="center"/>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合格/不合格</w:t>
            </w:r>
          </w:p>
        </w:tc>
      </w:tr>
      <w:tr w14:paraId="23BAF970">
        <w:tblPrEx>
          <w:tblCellMar>
            <w:top w:w="0" w:type="dxa"/>
            <w:left w:w="108" w:type="dxa"/>
            <w:bottom w:w="0" w:type="dxa"/>
            <w:right w:w="108" w:type="dxa"/>
          </w:tblCellMar>
        </w:tblPrEx>
        <w:trPr>
          <w:trHeight w:val="510" w:hRule="atLeast"/>
        </w:trPr>
        <w:tc>
          <w:tcPr>
            <w:tcW w:w="924" w:type="dxa"/>
            <w:tcBorders>
              <w:top w:val="single" w:color="000000" w:sz="4" w:space="0"/>
              <w:left w:val="single" w:color="000000" w:sz="4" w:space="0"/>
              <w:bottom w:val="single" w:color="000000" w:sz="4" w:space="0"/>
              <w:right w:val="single" w:color="000000" w:sz="4" w:space="0"/>
            </w:tcBorders>
            <w:noWrap/>
            <w:vAlign w:val="center"/>
          </w:tcPr>
          <w:p w14:paraId="58864453">
            <w:pPr>
              <w:widowControl/>
              <w:spacing w:line="360" w:lineRule="auto"/>
              <w:jc w:val="center"/>
              <w:textAlignment w:val="center"/>
              <w:rPr>
                <w:rFonts w:hint="eastAsia" w:ascii="仿宋" w:hAnsi="仿宋" w:eastAsia="仿宋" w:cs="仿宋"/>
                <w:color w:val="000000" w:themeColor="text1"/>
                <w:kern w:val="0"/>
                <w:sz w:val="22"/>
                <w:szCs w:val="22"/>
                <w:highlight w:val="none"/>
                <w:lang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5</w:t>
            </w:r>
          </w:p>
        </w:tc>
        <w:tc>
          <w:tcPr>
            <w:tcW w:w="6156" w:type="dxa"/>
            <w:tcBorders>
              <w:top w:val="single" w:color="000000" w:sz="4" w:space="0"/>
              <w:left w:val="single" w:color="000000" w:sz="4" w:space="0"/>
              <w:bottom w:val="single" w:color="000000" w:sz="4" w:space="0"/>
              <w:right w:val="single" w:color="000000" w:sz="4" w:space="0"/>
            </w:tcBorders>
            <w:noWrap/>
            <w:vAlign w:val="center"/>
          </w:tcPr>
          <w:p w14:paraId="6B2BFB81">
            <w:pPr>
              <w:widowControl/>
              <w:spacing w:line="360" w:lineRule="auto"/>
              <w:jc w:val="left"/>
              <w:textAlignment w:val="center"/>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b w:val="0"/>
                <w:color w:val="000000" w:themeColor="text1"/>
                <w:kern w:val="2"/>
                <w:sz w:val="22"/>
                <w:szCs w:val="22"/>
                <w:highlight w:val="none"/>
                <w:lang w:val="en-US" w:eastAsia="zh-CN" w:bidi="ar-SA"/>
                <w14:textFill>
                  <w14:solidFill>
                    <w14:schemeClr w14:val="tx1"/>
                  </w14:solidFill>
                </w14:textFill>
              </w:rPr>
              <w:t>不存在法律、法规和遴选文件规定的其他响应无效情形的</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4766AF82">
            <w:pPr>
              <w:widowControl/>
              <w:spacing w:line="360" w:lineRule="auto"/>
              <w:jc w:val="center"/>
              <w:textAlignment w:val="center"/>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合格/不合格</w:t>
            </w:r>
          </w:p>
        </w:tc>
      </w:tr>
    </w:tbl>
    <w:p w14:paraId="4364D5AE">
      <w:pPr>
        <w:rPr>
          <w:color w:val="000000" w:themeColor="text1"/>
          <w:highlight w:val="none"/>
          <w14:textFill>
            <w14:solidFill>
              <w14:schemeClr w14:val="tx1"/>
            </w14:solidFill>
          </w14:textFill>
        </w:rPr>
      </w:pPr>
    </w:p>
    <w:p w14:paraId="4BC9E520">
      <w:pPr>
        <w:adjustRightInd w:val="0"/>
        <w:snapToGrid w:val="0"/>
        <w:spacing w:line="40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4.澄清有关问题</w:t>
      </w:r>
    </w:p>
    <w:p w14:paraId="1B67EA9F">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 对</w:t>
      </w:r>
      <w:r>
        <w:rPr>
          <w:rFonts w:hint="eastAsia" w:ascii="仿宋" w:hAnsi="仿宋" w:eastAsia="仿宋" w:cs="仿宋"/>
          <w:bCs/>
          <w:color w:val="000000" w:themeColor="text1"/>
          <w:highlight w:val="none"/>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中含义不明确、同类问题表述不一致或者有明显文字和计算错误的内容，评审委员会将以书面形式通知供应商作出必要的澄清、说明，但不得超出</w:t>
      </w:r>
      <w:r>
        <w:rPr>
          <w:rFonts w:hint="eastAsia" w:ascii="仿宋" w:hAnsi="仿宋" w:eastAsia="仿宋" w:cs="仿宋"/>
          <w:bCs/>
          <w:color w:val="000000" w:themeColor="text1"/>
          <w:highlight w:val="none"/>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的范围或对响应文件做实质性的修改（计算错误修正除外）。评审委员会不接受供应商主动提出的澄清、说明。</w:t>
      </w:r>
    </w:p>
    <w:p w14:paraId="7CA0A21C">
      <w:pPr>
        <w:tabs>
          <w:tab w:val="left" w:pos="0"/>
        </w:tabs>
        <w:adjustRightInd w:val="0"/>
        <w:snapToGrid w:val="0"/>
        <w:spacing w:line="400" w:lineRule="exact"/>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4.2供应商不得对下列内容</w:t>
      </w:r>
      <w:r>
        <w:rPr>
          <w:rFonts w:hint="eastAsia" w:ascii="仿宋" w:hAnsi="仿宋" w:eastAsia="仿宋" w:cs="仿宋"/>
          <w:bCs/>
          <w:color w:val="000000" w:themeColor="text1"/>
          <w:highlight w:val="none"/>
          <w14:textFill>
            <w14:solidFill>
              <w14:schemeClr w14:val="tx1"/>
            </w14:solidFill>
          </w14:textFill>
        </w:rPr>
        <w:t>其进行澄清或补充：</w:t>
      </w:r>
    </w:p>
    <w:p w14:paraId="39780FE6">
      <w:pPr>
        <w:tabs>
          <w:tab w:val="left" w:pos="0"/>
        </w:tabs>
        <w:adjustRightInd w:val="0"/>
        <w:snapToGrid w:val="0"/>
        <w:spacing w:line="400" w:lineRule="exact"/>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（1）不满足实质性要求的</w:t>
      </w:r>
      <w:r>
        <w:rPr>
          <w:rFonts w:hint="eastAsia" w:ascii="仿宋" w:hAnsi="仿宋" w:eastAsia="仿宋" w:cs="仿宋"/>
          <w:bCs/>
          <w:color w:val="000000" w:themeColor="text1"/>
          <w:highlight w:val="none"/>
          <w14:textFill>
            <w14:solidFill>
              <w14:schemeClr w14:val="tx1"/>
            </w14:solidFill>
          </w14:textFill>
        </w:rPr>
        <w:t>响应文件内容。</w:t>
      </w:r>
    </w:p>
    <w:p w14:paraId="4E06AA9E">
      <w:pPr>
        <w:tabs>
          <w:tab w:val="left" w:pos="0"/>
        </w:tabs>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4.3供应商的澄清、说明或者补正应该采用书面形式，由法定代表人或其授权的代理人签字，并按评审委员会的通知要求递交。</w:t>
      </w:r>
    </w:p>
    <w:p w14:paraId="70CC54D9">
      <w:pPr>
        <w:tabs>
          <w:tab w:val="left" w:pos="0"/>
        </w:tabs>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4.5 有效的书面澄清材料，是响应文件的补充材料，成为响应文件的组成部分。</w:t>
      </w:r>
    </w:p>
    <w:p w14:paraId="69E006C9">
      <w:pPr>
        <w:tabs>
          <w:tab w:val="left" w:pos="0"/>
        </w:tabs>
        <w:adjustRightInd w:val="0"/>
        <w:snapToGrid w:val="0"/>
        <w:spacing w:line="400" w:lineRule="exact"/>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5.比较与评价</w:t>
      </w:r>
    </w:p>
    <w:p w14:paraId="527133E5">
      <w:pPr>
        <w:tabs>
          <w:tab w:val="left" w:pos="0"/>
        </w:tabs>
        <w:adjustRightInd w:val="0"/>
        <w:snapToGrid w:val="0"/>
        <w:spacing w:line="400" w:lineRule="exact"/>
        <w:ind w:firstLine="42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5.1评审委员会应按照遴选文件中规定的评审方法、</w:t>
      </w:r>
      <w:r>
        <w:rPr>
          <w:rFonts w:hint="eastAsia" w:ascii="仿宋" w:hAnsi="仿宋" w:eastAsia="仿宋" w:cs="仿宋"/>
          <w:color w:val="000000" w:themeColor="text1"/>
          <w:highlight w:val="none"/>
          <w14:textFill>
            <w14:solidFill>
              <w14:schemeClr w14:val="tx1"/>
            </w14:solidFill>
          </w14:textFill>
        </w:rPr>
        <w:t>标准和评审因素，</w:t>
      </w:r>
      <w:r>
        <w:rPr>
          <w:rFonts w:hint="eastAsia" w:ascii="仿宋" w:hAnsi="仿宋" w:eastAsia="仿宋" w:cs="仿宋"/>
          <w:bCs/>
          <w:color w:val="000000" w:themeColor="text1"/>
          <w:highlight w:val="none"/>
          <w14:textFill>
            <w14:solidFill>
              <w14:schemeClr w14:val="tx1"/>
            </w14:solidFill>
          </w14:textFill>
        </w:rPr>
        <w:t>对</w:t>
      </w:r>
      <w:r>
        <w:rPr>
          <w:rFonts w:hint="eastAsia" w:ascii="仿宋" w:hAnsi="仿宋" w:eastAsia="仿宋" w:cs="仿宋"/>
          <w:color w:val="000000" w:themeColor="text1"/>
          <w:highlight w:val="none"/>
          <w14:textFill>
            <w14:solidFill>
              <w14:schemeClr w14:val="tx1"/>
            </w14:solidFill>
          </w14:textFill>
        </w:rPr>
        <w:t>符合性检查</w:t>
      </w:r>
      <w:r>
        <w:rPr>
          <w:rFonts w:hint="eastAsia" w:ascii="仿宋" w:hAnsi="仿宋" w:eastAsia="仿宋" w:cs="仿宋"/>
          <w:bCs/>
          <w:color w:val="000000" w:themeColor="text1"/>
          <w:highlight w:val="none"/>
          <w14:textFill>
            <w14:solidFill>
              <w14:schemeClr w14:val="tx1"/>
            </w14:solidFill>
          </w14:textFill>
        </w:rPr>
        <w:t>合格的响应文件进行评估，综合比较与评价。</w:t>
      </w:r>
    </w:p>
    <w:p w14:paraId="5BE0C117">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5.2遴选文件格式提供《报价一览表》。在同一包号项中所有合格供应商中投标报价最低的为满分，作为评标基准价。</w:t>
      </w:r>
    </w:p>
    <w:p w14:paraId="585C7495">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5.3评审时，评审委员会各成员应当独立对每个供应商的响应文件进行评价、评分，然后汇总每个供应商每项评分因素的得分。</w:t>
      </w:r>
    </w:p>
    <w:p w14:paraId="6DF1612D">
      <w:pPr>
        <w:tabs>
          <w:tab w:val="left" w:pos="0"/>
        </w:tabs>
        <w:adjustRightInd w:val="0"/>
        <w:snapToGrid w:val="0"/>
        <w:spacing w:line="400" w:lineRule="exac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6.推荐入围供应商名单</w:t>
      </w:r>
    </w:p>
    <w:p w14:paraId="6029EE83">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入围数量：</w:t>
      </w:r>
      <w:r>
        <w:rPr>
          <w:rFonts w:hint="eastAsia" w:ascii="仿宋" w:hAnsi="仿宋" w:eastAsia="仿宋" w:cs="仿宋"/>
          <w:b/>
          <w:color w:val="000000" w:themeColor="text1"/>
          <w:highlight w:val="none"/>
          <w14:textFill>
            <w14:solidFill>
              <w14:schemeClr w14:val="tx1"/>
            </w14:solidFill>
          </w14:textFill>
        </w:rPr>
        <w:t>详见第三章</w:t>
      </w:r>
      <w:r>
        <w:rPr>
          <w:rFonts w:hint="eastAsia" w:ascii="仿宋" w:hAnsi="仿宋" w:eastAsia="仿宋" w:cs="仿宋"/>
          <w:bCs/>
          <w:color w:val="000000" w:themeColor="text1"/>
          <w:highlight w:val="none"/>
          <w14:textFill>
            <w14:solidFill>
              <w14:schemeClr w14:val="tx1"/>
            </w14:solidFill>
          </w14:textFill>
        </w:rPr>
        <w:t>。</w:t>
      </w:r>
    </w:p>
    <w:p w14:paraId="43AFF879">
      <w:pPr>
        <w:widowControl/>
        <w:adjustRightInd w:val="0"/>
        <w:snapToGrid w:val="0"/>
        <w:spacing w:line="400" w:lineRule="exact"/>
        <w:ind w:firstLine="420" w:firstLineChars="200"/>
        <w:jc w:val="left"/>
        <w:rPr>
          <w:rFonts w:hint="eastAsia" w:ascii="仿宋" w:hAnsi="仿宋" w:eastAsia="仿宋" w:cs="仿宋"/>
          <w:b/>
          <w:color w:val="000000" w:themeColor="text1"/>
          <w:szCs w:val="20"/>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6.2 </w:t>
      </w:r>
      <w:r>
        <w:rPr>
          <w:rFonts w:hint="eastAsia" w:ascii="仿宋" w:hAnsi="仿宋" w:eastAsia="仿宋" w:cs="仿宋"/>
          <w:b/>
          <w:color w:val="000000" w:themeColor="text1"/>
          <w:highlight w:val="none"/>
          <w14:textFill>
            <w14:solidFill>
              <w14:schemeClr w14:val="tx1"/>
            </w14:solidFill>
          </w14:textFill>
        </w:rPr>
        <w:t>同一包号项中，由评审委员会对供应商进行综合评分并作出排序；</w:t>
      </w:r>
      <w:r>
        <w:rPr>
          <w:rFonts w:hint="eastAsia" w:ascii="仿宋" w:hAnsi="仿宋" w:eastAsia="仿宋" w:cs="仿宋"/>
          <w:b/>
          <w:color w:val="000000" w:themeColor="text1"/>
          <w:szCs w:val="20"/>
          <w:highlight w:val="none"/>
          <w14:textFill>
            <w14:solidFill>
              <w14:schemeClr w14:val="tx1"/>
            </w14:solidFill>
          </w14:textFill>
        </w:rPr>
        <w:t>总得分相同的，按技术得分由高到低顺序排列；总得分、技术得分相同的，按价格得分由高到低顺序排列；总得分、技术得分、价格得分相同的，按商务得分由高到低顺序排列；上述得分均相同的，由采购人自行确定。</w:t>
      </w:r>
    </w:p>
    <w:p w14:paraId="50DC0E7A">
      <w:pPr>
        <w:widowControl/>
        <w:adjustRightInd w:val="0"/>
        <w:snapToGrid w:val="0"/>
        <w:spacing w:line="400" w:lineRule="exact"/>
        <w:jc w:val="lef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7.入围结果公示与公布</w:t>
      </w:r>
    </w:p>
    <w:p w14:paraId="64CBA410">
      <w:pPr>
        <w:shd w:val="clear"/>
        <w:tabs>
          <w:tab w:val="left" w:pos="0"/>
        </w:tabs>
        <w:adjustRightInd w:val="0"/>
        <w:snapToGrid w:val="0"/>
        <w:spacing w:line="400" w:lineRule="exact"/>
        <w:ind w:firstLine="42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在</w:t>
      </w:r>
      <w:r>
        <w:rPr>
          <w:rFonts w:hint="eastAsia" w:ascii="仿宋" w:hAnsi="仿宋" w:eastAsia="仿宋" w:cs="仿宋"/>
          <w:bCs/>
          <w:color w:val="000000" w:themeColor="text1"/>
          <w:szCs w:val="21"/>
          <w:highlight w:val="none"/>
          <w:lang w:val="en-US" w:eastAsia="zh-CN"/>
          <w14:textFill>
            <w14:solidFill>
              <w14:schemeClr w14:val="tx1"/>
            </w14:solidFill>
          </w14:textFill>
        </w:rPr>
        <w:t>遴选</w:t>
      </w:r>
      <w:r>
        <w:rPr>
          <w:rFonts w:hint="eastAsia" w:ascii="仿宋" w:hAnsi="仿宋" w:eastAsia="仿宋" w:cs="仿宋"/>
          <w:bCs/>
          <w:color w:val="000000" w:themeColor="text1"/>
          <w:szCs w:val="21"/>
          <w:highlight w:val="none"/>
          <w14:textFill>
            <w14:solidFill>
              <w14:schemeClr w14:val="tx1"/>
            </w14:solidFill>
          </w14:textFill>
        </w:rPr>
        <w:t>公告指定媒体上公告</w:t>
      </w:r>
      <w:r>
        <w:rPr>
          <w:rFonts w:hint="eastAsia" w:ascii="仿宋" w:hAnsi="仿宋" w:eastAsia="仿宋" w:cs="仿宋"/>
          <w:bCs/>
          <w:color w:val="000000" w:themeColor="text1"/>
          <w:szCs w:val="21"/>
          <w:highlight w:val="none"/>
          <w:lang w:val="en-US" w:eastAsia="zh-CN"/>
          <w14:textFill>
            <w14:solidFill>
              <w14:schemeClr w14:val="tx1"/>
            </w14:solidFill>
          </w14:textFill>
        </w:rPr>
        <w:t>入围</w:t>
      </w:r>
      <w:r>
        <w:rPr>
          <w:rFonts w:hint="eastAsia" w:ascii="仿宋" w:hAnsi="仿宋" w:eastAsia="仿宋" w:cs="仿宋"/>
          <w:bCs/>
          <w:color w:val="000000" w:themeColor="text1"/>
          <w:szCs w:val="21"/>
          <w:highlight w:val="none"/>
          <w14:textFill>
            <w14:solidFill>
              <w14:schemeClr w14:val="tx1"/>
            </w14:solidFill>
          </w14:textFill>
        </w:rPr>
        <w:t>结果，公示期为1个工作日。供应商若认为入围结果使自己的权益受到损害的，</w:t>
      </w:r>
      <w:r>
        <w:rPr>
          <w:rFonts w:hint="eastAsia" w:ascii="仿宋" w:hAnsi="仿宋" w:eastAsia="仿宋" w:cs="仿宋"/>
          <w:color w:val="000000" w:themeColor="text1"/>
          <w:kern w:val="0"/>
          <w:szCs w:val="21"/>
          <w:highlight w:val="none"/>
          <w14:textFill>
            <w14:solidFill>
              <w14:schemeClr w14:val="tx1"/>
            </w14:solidFill>
          </w14:textFill>
        </w:rPr>
        <w:t>应于公告发布之日起七个工作日内，以书面形式向采购代理机构提出质疑</w:t>
      </w:r>
      <w:r>
        <w:rPr>
          <w:rFonts w:hint="eastAsia" w:ascii="仿宋" w:hAnsi="仿宋" w:eastAsia="仿宋" w:cs="仿宋"/>
          <w:bCs/>
          <w:color w:val="000000" w:themeColor="text1"/>
          <w:szCs w:val="21"/>
          <w:highlight w:val="none"/>
          <w14:textFill>
            <w14:solidFill>
              <w14:schemeClr w14:val="tx1"/>
            </w14:solidFill>
          </w14:textFill>
        </w:rPr>
        <w:t>。</w:t>
      </w:r>
    </w:p>
    <w:p w14:paraId="78EA55CE">
      <w:pPr>
        <w:widowControl/>
        <w:adjustRightInd w:val="0"/>
        <w:snapToGrid w:val="0"/>
        <w:spacing w:line="400" w:lineRule="exact"/>
        <w:jc w:val="lef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8、合同的授予</w:t>
      </w:r>
    </w:p>
    <w:p w14:paraId="50EAC030">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8.1 合同授予标准</w:t>
      </w:r>
    </w:p>
    <w:p w14:paraId="58DBD11F">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本遴选项目的合同将授予依据遴选文件规定所确定的入围供应商。</w:t>
      </w:r>
    </w:p>
    <w:p w14:paraId="03F26A62">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8.2 合同的签订</w:t>
      </w:r>
    </w:p>
    <w:p w14:paraId="53F07372">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8.2.</w:t>
      </w:r>
      <w:r>
        <w:rPr>
          <w:rFonts w:hint="eastAsia" w:ascii="仿宋" w:hAnsi="仿宋" w:eastAsia="仿宋" w:cs="仿宋"/>
          <w:bCs/>
          <w:color w:val="000000" w:themeColor="text1"/>
          <w:highlight w:val="none"/>
          <w:lang w:val="en-US" w:eastAsia="zh-CN"/>
          <w14:textFill>
            <w14:solidFill>
              <w14:schemeClr w14:val="tx1"/>
            </w14:solidFill>
          </w14:textFill>
        </w:rPr>
        <w:t>1</w:t>
      </w:r>
      <w:r>
        <w:rPr>
          <w:rFonts w:hint="eastAsia" w:ascii="仿宋" w:hAnsi="仿宋" w:eastAsia="仿宋" w:cs="仿宋"/>
          <w:bCs/>
          <w:color w:val="000000" w:themeColor="text1"/>
          <w:highlight w:val="none"/>
          <w14:textFill>
            <w14:solidFill>
              <w14:schemeClr w14:val="tx1"/>
            </w14:solidFill>
          </w14:textFill>
        </w:rPr>
        <w:t xml:space="preserve"> 入围供应商不按规定与采购人订立合同的，则采购人取消其入围资格，遴选保证金不予退还，给采购人造成的损失超过遴选保证金数额的，还应当对超过部分予以赔偿，同时依法承担相应的法律责任。</w:t>
      </w:r>
    </w:p>
    <w:p w14:paraId="4A89AC70">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8.2.</w:t>
      </w:r>
      <w:r>
        <w:rPr>
          <w:rFonts w:hint="eastAsia" w:ascii="仿宋" w:hAnsi="仿宋" w:eastAsia="仿宋" w:cs="仿宋"/>
          <w:bCs/>
          <w:color w:val="000000" w:themeColor="text1"/>
          <w:highlight w:val="none"/>
          <w:lang w:val="en-US" w:eastAsia="zh-CN"/>
          <w14:textFill>
            <w14:solidFill>
              <w14:schemeClr w14:val="tx1"/>
            </w14:solidFill>
          </w14:textFill>
        </w:rPr>
        <w:t>2</w:t>
      </w:r>
      <w:r>
        <w:rPr>
          <w:rFonts w:hint="eastAsia" w:ascii="仿宋" w:hAnsi="仿宋" w:eastAsia="仿宋" w:cs="仿宋"/>
          <w:bCs/>
          <w:color w:val="000000" w:themeColor="text1"/>
          <w:highlight w:val="none"/>
          <w14:textFill>
            <w14:solidFill>
              <w14:schemeClr w14:val="tx1"/>
            </w14:solidFill>
          </w14:textFill>
        </w:rPr>
        <w:t xml:space="preserve"> 入围供应商应当按照合同约定履行义务，不得转让（转包）给他人。</w:t>
      </w:r>
    </w:p>
    <w:p w14:paraId="58F9733B">
      <w:pPr>
        <w:widowControl/>
        <w:adjustRightInd w:val="0"/>
        <w:snapToGrid w:val="0"/>
        <w:spacing w:line="400" w:lineRule="exact"/>
        <w:ind w:firstLine="420" w:firstLineChars="200"/>
        <w:jc w:val="left"/>
        <w:rPr>
          <w:rFonts w:hint="eastAsia" w:ascii="仿宋" w:hAnsi="仿宋" w:eastAsia="仿宋" w:cs="仿宋"/>
          <w:bCs/>
          <w:color w:val="000000" w:themeColor="text1"/>
          <w:highlight w:val="none"/>
          <w14:textFill>
            <w14:solidFill>
              <w14:schemeClr w14:val="tx1"/>
            </w14:solidFill>
          </w14:textFill>
        </w:rPr>
      </w:pPr>
    </w:p>
    <w:p w14:paraId="74C6884E">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br w:type="page"/>
      </w:r>
    </w:p>
    <w:p w14:paraId="7F680B6C">
      <w:pPr>
        <w:numPr>
          <w:ilvl w:val="0"/>
          <w:numId w:val="3"/>
        </w:numPr>
        <w:adjustRightInd w:val="0"/>
        <w:snapToGrid w:val="0"/>
        <w:spacing w:line="360" w:lineRule="auto"/>
        <w:rPr>
          <w:rFonts w:hint="eastAsia" w:ascii="仿宋" w:hAnsi="仿宋" w:eastAsia="仿宋" w:cs="仿宋"/>
          <w:b/>
          <w:bCs/>
          <w:color w:val="000000" w:themeColor="text1"/>
          <w:szCs w:val="20"/>
          <w:highlight w:val="none"/>
          <w14:textFill>
            <w14:solidFill>
              <w14:schemeClr w14:val="tx1"/>
            </w14:solidFill>
          </w14:textFill>
        </w:rPr>
      </w:pPr>
      <w:r>
        <w:rPr>
          <w:rFonts w:hint="eastAsia" w:ascii="仿宋" w:hAnsi="仿宋" w:eastAsia="仿宋" w:cs="仿宋"/>
          <w:b/>
          <w:bCs/>
          <w:color w:val="000000" w:themeColor="text1"/>
          <w:szCs w:val="20"/>
          <w:highlight w:val="none"/>
          <w14:textFill>
            <w14:solidFill>
              <w14:schemeClr w14:val="tx1"/>
            </w14:solidFill>
          </w14:textFill>
        </w:rPr>
        <w:t>综合评分表</w:t>
      </w:r>
    </w:p>
    <w:tbl>
      <w:tblPr>
        <w:tblStyle w:val="3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95"/>
        <w:gridCol w:w="652"/>
        <w:gridCol w:w="3295"/>
        <w:gridCol w:w="2365"/>
        <w:gridCol w:w="593"/>
      </w:tblGrid>
      <w:tr w14:paraId="5781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1" w:hRule="atLeast"/>
          <w:jc w:val="center"/>
        </w:trPr>
        <w:tc>
          <w:tcPr>
            <w:tcW w:w="8800" w:type="dxa"/>
            <w:gridSpan w:val="5"/>
            <w:noWrap/>
            <w:vAlign w:val="center"/>
          </w:tcPr>
          <w:p w14:paraId="558B2E70">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综合评分法评审规则</w:t>
            </w:r>
          </w:p>
        </w:tc>
      </w:tr>
      <w:tr w14:paraId="32C3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0" w:hRule="atLeast"/>
          <w:jc w:val="center"/>
        </w:trPr>
        <w:tc>
          <w:tcPr>
            <w:tcW w:w="8800" w:type="dxa"/>
            <w:gridSpan w:val="5"/>
            <w:noWrap/>
            <w:vAlign w:val="center"/>
          </w:tcPr>
          <w:p w14:paraId="16F792AF">
            <w:pPr>
              <w:adjustRightInd w:val="0"/>
              <w:snapToGrid w:val="0"/>
              <w:spacing w:line="360" w:lineRule="exact"/>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评分权重配置</w:t>
            </w:r>
          </w:p>
        </w:tc>
      </w:tr>
      <w:tr w14:paraId="74C7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7FF09856">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评审项</w:t>
            </w:r>
          </w:p>
        </w:tc>
        <w:tc>
          <w:tcPr>
            <w:tcW w:w="3295" w:type="dxa"/>
            <w:noWrap/>
            <w:vAlign w:val="center"/>
          </w:tcPr>
          <w:p w14:paraId="4C110A10">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所占权重(%)</w:t>
            </w:r>
          </w:p>
        </w:tc>
        <w:tc>
          <w:tcPr>
            <w:tcW w:w="2958" w:type="dxa"/>
            <w:gridSpan w:val="2"/>
            <w:noWrap/>
            <w:vAlign w:val="center"/>
          </w:tcPr>
          <w:p w14:paraId="44BBD42A">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分值</w:t>
            </w:r>
          </w:p>
        </w:tc>
      </w:tr>
      <w:tr w14:paraId="45E3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18078FAE">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报价部分</w:t>
            </w:r>
          </w:p>
        </w:tc>
        <w:tc>
          <w:tcPr>
            <w:tcW w:w="3295" w:type="dxa"/>
            <w:noWrap/>
            <w:vAlign w:val="center"/>
          </w:tcPr>
          <w:p w14:paraId="751FB770">
            <w:pPr>
              <w:adjustRightInd w:val="0"/>
              <w:snapToGrid w:val="0"/>
              <w:spacing w:line="36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0.</w:t>
            </w:r>
            <w:r>
              <w:rPr>
                <w:rFonts w:hint="eastAsia" w:ascii="仿宋" w:hAnsi="仿宋" w:eastAsia="仿宋" w:cs="仿宋"/>
                <w:color w:val="000000" w:themeColor="text1"/>
                <w:szCs w:val="20"/>
                <w:highlight w:val="none"/>
                <w:lang w:val="en-US" w:eastAsia="zh-CN"/>
                <w14:textFill>
                  <w14:solidFill>
                    <w14:schemeClr w14:val="tx1"/>
                  </w14:solidFill>
                </w14:textFill>
              </w:rPr>
              <w:t>50</w:t>
            </w:r>
          </w:p>
        </w:tc>
        <w:tc>
          <w:tcPr>
            <w:tcW w:w="2958" w:type="dxa"/>
            <w:gridSpan w:val="2"/>
            <w:noWrap/>
            <w:vAlign w:val="center"/>
          </w:tcPr>
          <w:p w14:paraId="5CCD2A7D">
            <w:pPr>
              <w:adjustRightInd w:val="0"/>
              <w:snapToGrid w:val="0"/>
              <w:spacing w:line="36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50</w:t>
            </w:r>
          </w:p>
        </w:tc>
      </w:tr>
      <w:tr w14:paraId="2ECC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51FBF5F4">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商务部分</w:t>
            </w:r>
          </w:p>
        </w:tc>
        <w:tc>
          <w:tcPr>
            <w:tcW w:w="3295" w:type="dxa"/>
            <w:noWrap/>
            <w:vAlign w:val="center"/>
          </w:tcPr>
          <w:p w14:paraId="4A177A51">
            <w:pPr>
              <w:adjustRightInd w:val="0"/>
              <w:snapToGrid w:val="0"/>
              <w:spacing w:line="360" w:lineRule="exact"/>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0.</w:t>
            </w:r>
            <w:r>
              <w:rPr>
                <w:rFonts w:hint="eastAsia" w:ascii="仿宋" w:hAnsi="仿宋" w:eastAsia="仿宋" w:cs="仿宋"/>
                <w:color w:val="000000" w:themeColor="text1"/>
                <w:szCs w:val="20"/>
                <w:highlight w:val="none"/>
                <w:lang w:val="en-US" w:eastAsia="zh-CN"/>
                <w14:textFill>
                  <w14:solidFill>
                    <w14:schemeClr w14:val="tx1"/>
                  </w14:solidFill>
                </w14:textFill>
              </w:rPr>
              <w:t>20</w:t>
            </w:r>
          </w:p>
        </w:tc>
        <w:tc>
          <w:tcPr>
            <w:tcW w:w="2958" w:type="dxa"/>
            <w:gridSpan w:val="2"/>
            <w:noWrap/>
            <w:vAlign w:val="center"/>
          </w:tcPr>
          <w:p w14:paraId="01BC45C1">
            <w:pPr>
              <w:adjustRightInd w:val="0"/>
              <w:snapToGrid w:val="0"/>
              <w:spacing w:line="360" w:lineRule="exact"/>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w:t>
            </w:r>
          </w:p>
        </w:tc>
      </w:tr>
      <w:tr w14:paraId="3AD5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7C017526">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技术部分</w:t>
            </w:r>
          </w:p>
        </w:tc>
        <w:tc>
          <w:tcPr>
            <w:tcW w:w="3295" w:type="dxa"/>
            <w:noWrap/>
            <w:vAlign w:val="center"/>
          </w:tcPr>
          <w:p w14:paraId="5EF8352E">
            <w:pPr>
              <w:adjustRightInd w:val="0"/>
              <w:snapToGrid w:val="0"/>
              <w:spacing w:line="360" w:lineRule="exact"/>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0.</w:t>
            </w:r>
            <w:r>
              <w:rPr>
                <w:rFonts w:hint="eastAsia" w:ascii="仿宋" w:hAnsi="仿宋" w:eastAsia="仿宋" w:cs="仿宋"/>
                <w:color w:val="000000" w:themeColor="text1"/>
                <w:szCs w:val="20"/>
                <w:highlight w:val="none"/>
                <w:lang w:val="en-US" w:eastAsia="zh-CN"/>
                <w14:textFill>
                  <w14:solidFill>
                    <w14:schemeClr w14:val="tx1"/>
                  </w14:solidFill>
                </w14:textFill>
              </w:rPr>
              <w:t>30</w:t>
            </w:r>
          </w:p>
        </w:tc>
        <w:tc>
          <w:tcPr>
            <w:tcW w:w="2958" w:type="dxa"/>
            <w:gridSpan w:val="2"/>
            <w:noWrap/>
            <w:vAlign w:val="center"/>
          </w:tcPr>
          <w:p w14:paraId="731D01A5">
            <w:pPr>
              <w:adjustRightInd w:val="0"/>
              <w:snapToGrid w:val="0"/>
              <w:spacing w:line="360" w:lineRule="exact"/>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30</w:t>
            </w:r>
          </w:p>
        </w:tc>
      </w:tr>
      <w:tr w14:paraId="56F9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8800" w:type="dxa"/>
            <w:gridSpan w:val="5"/>
            <w:noWrap/>
            <w:vAlign w:val="center"/>
          </w:tcPr>
          <w:p w14:paraId="1B2AE0AC">
            <w:pPr>
              <w:adjustRightInd w:val="0"/>
              <w:snapToGrid w:val="0"/>
              <w:spacing w:line="360" w:lineRule="exact"/>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bCs/>
                <w:color w:val="000000" w:themeColor="text1"/>
                <w:szCs w:val="20"/>
                <w:highlight w:val="none"/>
                <w14:textFill>
                  <w14:solidFill>
                    <w14:schemeClr w14:val="tx1"/>
                  </w14:solidFill>
                </w14:textFill>
              </w:rPr>
              <w:t>报价部分</w:t>
            </w:r>
          </w:p>
        </w:tc>
      </w:tr>
      <w:tr w14:paraId="563E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895" w:type="dxa"/>
            <w:noWrap/>
            <w:vAlign w:val="center"/>
          </w:tcPr>
          <w:p w14:paraId="4C170DED">
            <w:pPr>
              <w:adjustRightInd w:val="0"/>
              <w:snapToGrid w:val="0"/>
              <w:spacing w:line="360" w:lineRule="exact"/>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计分因素</w:t>
            </w:r>
          </w:p>
        </w:tc>
        <w:tc>
          <w:tcPr>
            <w:tcW w:w="652" w:type="dxa"/>
            <w:noWrap/>
            <w:vAlign w:val="center"/>
          </w:tcPr>
          <w:p w14:paraId="2B7E0854">
            <w:pPr>
              <w:adjustRightInd w:val="0"/>
              <w:snapToGrid w:val="0"/>
              <w:spacing w:line="360" w:lineRule="exact"/>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分值</w:t>
            </w:r>
          </w:p>
        </w:tc>
        <w:tc>
          <w:tcPr>
            <w:tcW w:w="5660" w:type="dxa"/>
            <w:gridSpan w:val="2"/>
            <w:noWrap/>
            <w:vAlign w:val="center"/>
          </w:tcPr>
          <w:p w14:paraId="1D124015">
            <w:pPr>
              <w:adjustRightInd w:val="0"/>
              <w:snapToGrid w:val="0"/>
              <w:spacing w:line="360" w:lineRule="exact"/>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评分标准</w:t>
            </w:r>
          </w:p>
        </w:tc>
        <w:tc>
          <w:tcPr>
            <w:tcW w:w="593" w:type="dxa"/>
            <w:noWrap/>
            <w:vAlign w:val="center"/>
          </w:tcPr>
          <w:p w14:paraId="603116A1">
            <w:pPr>
              <w:adjustRightInd w:val="0"/>
              <w:snapToGrid w:val="0"/>
              <w:spacing w:line="360" w:lineRule="exact"/>
              <w:jc w:val="center"/>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评分</w:t>
            </w:r>
          </w:p>
        </w:tc>
      </w:tr>
      <w:tr w14:paraId="1831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1" w:hRule="atLeast"/>
          <w:jc w:val="center"/>
        </w:trPr>
        <w:tc>
          <w:tcPr>
            <w:tcW w:w="1895" w:type="dxa"/>
            <w:noWrap/>
            <w:vAlign w:val="center"/>
          </w:tcPr>
          <w:p w14:paraId="26FB8BAF">
            <w:pPr>
              <w:autoSpaceDE w:val="0"/>
              <w:autoSpaceDN w:val="0"/>
              <w:adjustRightInd w:val="0"/>
              <w:spacing w:after="120"/>
              <w:jc w:val="center"/>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价格</w:t>
            </w:r>
          </w:p>
        </w:tc>
        <w:tc>
          <w:tcPr>
            <w:tcW w:w="652" w:type="dxa"/>
            <w:noWrap/>
            <w:vAlign w:val="center"/>
          </w:tcPr>
          <w:p w14:paraId="1B2A7A70">
            <w:pPr>
              <w:autoSpaceDE w:val="0"/>
              <w:autoSpaceDN w:val="0"/>
              <w:adjustRightInd w:val="0"/>
              <w:spacing w:after="120"/>
              <w:jc w:val="center"/>
              <w:rPr>
                <w:rFonts w:hint="eastAsia" w:ascii="仿宋" w:hAnsi="仿宋" w:eastAsia="仿宋" w:cs="仿宋"/>
                <w:color w:val="000000" w:themeColor="text1"/>
                <w:szCs w:val="22"/>
                <w:highlight w:val="none"/>
                <w:lang w:eastAsia="zh-CN"/>
                <w14:textFill>
                  <w14:solidFill>
                    <w14:schemeClr w14:val="tx1"/>
                  </w14:solidFill>
                </w14:textFill>
              </w:rPr>
            </w:pPr>
            <w:r>
              <w:rPr>
                <w:rFonts w:hint="eastAsia" w:ascii="仿宋" w:hAnsi="仿宋" w:eastAsia="仿宋" w:cs="仿宋"/>
                <w:color w:val="000000" w:themeColor="text1"/>
                <w:szCs w:val="22"/>
                <w:highlight w:val="none"/>
                <w:lang w:val="en-US" w:eastAsia="zh-CN"/>
                <w14:textFill>
                  <w14:solidFill>
                    <w14:schemeClr w14:val="tx1"/>
                  </w14:solidFill>
                </w14:textFill>
              </w:rPr>
              <w:t>50</w:t>
            </w:r>
          </w:p>
        </w:tc>
        <w:tc>
          <w:tcPr>
            <w:tcW w:w="5660" w:type="dxa"/>
            <w:gridSpan w:val="2"/>
            <w:noWrap/>
            <w:vAlign w:val="center"/>
          </w:tcPr>
          <w:p w14:paraId="7D2D1D20">
            <w:pPr>
              <w:pStyle w:val="223"/>
              <w:autoSpaceDE w:val="0"/>
              <w:autoSpaceDN w:val="0"/>
              <w:adjustRightInd w:val="0"/>
              <w:spacing w:after="120"/>
              <w:jc w:val="left"/>
              <w:rPr>
                <w:rFonts w:hint="eastAsia" w:ascii="仿宋" w:hAnsi="仿宋" w:eastAsia="仿宋" w:cs="仿宋"/>
                <w:color w:val="000000" w:themeColor="text1"/>
                <w:sz w:val="21"/>
                <w:szCs w:val="24"/>
                <w:highlight w:val="none"/>
                <w14:textFill>
                  <w14:solidFill>
                    <w14:schemeClr w14:val="tx1"/>
                  </w14:solidFill>
                </w14:textFill>
              </w:rPr>
            </w:pPr>
            <w:r>
              <w:rPr>
                <w:rFonts w:hint="eastAsia" w:ascii="仿宋" w:hAnsi="仿宋" w:eastAsia="仿宋" w:cs="仿宋"/>
                <w:color w:val="000000" w:themeColor="text1"/>
                <w:sz w:val="21"/>
                <w:szCs w:val="24"/>
                <w:highlight w:val="none"/>
                <w14:textFill>
                  <w14:solidFill>
                    <w14:schemeClr w14:val="tx1"/>
                  </w14:solidFill>
                </w14:textFill>
              </w:rPr>
              <w:t xml:space="preserve">采用低价优先法计算，即满足遴选文件要求且折扣最低的报价为评审基准价，其价格分为满分。其他合格供应商的价格分统一按照下列公式计算：      </w:t>
            </w:r>
          </w:p>
          <w:p w14:paraId="6E363B6F">
            <w:pPr>
              <w:pStyle w:val="223"/>
              <w:spacing w:before="0" w:line="240" w:lineRule="auto"/>
              <w:ind w:left="0" w:right="0" w:firstLine="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报价得分=（评审基准折扣/折扣）×</w:t>
            </w:r>
            <w:r>
              <w:rPr>
                <w:rFonts w:hint="eastAsia" w:ascii="仿宋" w:hAnsi="仿宋" w:eastAsia="仿宋" w:cs="仿宋"/>
                <w:color w:val="000000" w:themeColor="text1"/>
                <w:sz w:val="21"/>
                <w:szCs w:val="21"/>
                <w:highlight w:val="none"/>
                <w:lang w:val="en-US" w:eastAsia="zh-CN"/>
                <w14:textFill>
                  <w14:solidFill>
                    <w14:schemeClr w14:val="tx1"/>
                  </w14:solidFill>
                </w14:textFill>
              </w:rPr>
              <w:t>50</w:t>
            </w:r>
          </w:p>
          <w:p w14:paraId="487E20FF">
            <w:pPr>
              <w:pStyle w:val="223"/>
              <w:autoSpaceDE w:val="0"/>
              <w:autoSpaceDN w:val="0"/>
              <w:adjustRightInd w:val="0"/>
              <w:spacing w:after="120"/>
              <w:jc w:val="left"/>
              <w:rPr>
                <w:rFonts w:hint="default" w:ascii="仿宋" w:hAnsi="仿宋" w:eastAsia="仿宋" w:cs="仿宋"/>
                <w:color w:val="000000" w:themeColor="text1"/>
                <w:szCs w:val="22"/>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14:textFill>
                  <w14:solidFill>
                    <w14:schemeClr w14:val="tx1"/>
                  </w14:solidFill>
                </w14:textFill>
              </w:rPr>
              <w:t>说明：</w:t>
            </w:r>
            <w:r>
              <w:rPr>
                <w:rFonts w:hint="eastAsia" w:ascii="仿宋" w:hAnsi="仿宋" w:eastAsia="仿宋" w:cs="仿宋"/>
                <w:b/>
                <w:bCs/>
                <w:color w:val="000000" w:themeColor="text1"/>
                <w:highlight w:val="none"/>
                <w14:textFill>
                  <w14:solidFill>
                    <w14:schemeClr w14:val="tx1"/>
                  </w14:solidFill>
                </w14:textFill>
              </w:rPr>
              <w:t>供应商</w:t>
            </w:r>
            <w:r>
              <w:rPr>
                <w:rFonts w:hint="eastAsia" w:ascii="仿宋" w:hAnsi="仿宋" w:eastAsia="仿宋" w:cs="仿宋"/>
                <w:b/>
                <w:bCs/>
                <w:color w:val="000000" w:themeColor="text1"/>
                <w:spacing w:val="4"/>
                <w:highlight w:val="none"/>
                <w14:textFill>
                  <w14:solidFill>
                    <w14:schemeClr w14:val="tx1"/>
                  </w14:solidFill>
                </w14:textFill>
              </w:rPr>
              <w:t>A投标折扣80%，</w:t>
            </w:r>
            <w:r>
              <w:rPr>
                <w:rFonts w:hint="eastAsia" w:ascii="仿宋" w:hAnsi="仿宋" w:eastAsia="仿宋" w:cs="仿宋"/>
                <w:b/>
                <w:bCs/>
                <w:color w:val="000000" w:themeColor="text1"/>
                <w:highlight w:val="none"/>
                <w14:textFill>
                  <w14:solidFill>
                    <w14:schemeClr w14:val="tx1"/>
                  </w14:solidFill>
                </w14:textFill>
              </w:rPr>
              <w:t>供应商</w:t>
            </w:r>
            <w:r>
              <w:rPr>
                <w:rFonts w:hint="eastAsia" w:ascii="仿宋" w:hAnsi="仿宋" w:eastAsia="仿宋" w:cs="仿宋"/>
                <w:b/>
                <w:bCs/>
                <w:color w:val="000000" w:themeColor="text1"/>
                <w:spacing w:val="4"/>
                <w:highlight w:val="none"/>
                <w:lang w:val="en-US" w:eastAsia="zh-CN"/>
                <w14:textFill>
                  <w14:solidFill>
                    <w14:schemeClr w14:val="tx1"/>
                  </w14:solidFill>
                </w14:textFill>
              </w:rPr>
              <w:t>B</w:t>
            </w:r>
            <w:r>
              <w:rPr>
                <w:rFonts w:hint="eastAsia" w:ascii="仿宋" w:hAnsi="仿宋" w:eastAsia="仿宋" w:cs="仿宋"/>
                <w:b/>
                <w:bCs/>
                <w:color w:val="000000" w:themeColor="text1"/>
                <w:spacing w:val="4"/>
                <w:highlight w:val="none"/>
                <w14:textFill>
                  <w14:solidFill>
                    <w14:schemeClr w14:val="tx1"/>
                  </w14:solidFill>
                </w14:textFill>
              </w:rPr>
              <w:t>投标折扣85%，</w:t>
            </w:r>
            <w:r>
              <w:rPr>
                <w:rFonts w:hint="eastAsia" w:ascii="仿宋" w:hAnsi="仿宋" w:eastAsia="仿宋" w:cs="仿宋"/>
                <w:b/>
                <w:bCs/>
                <w:color w:val="000000" w:themeColor="text1"/>
                <w:highlight w:val="none"/>
                <w14:textFill>
                  <w14:solidFill>
                    <w14:schemeClr w14:val="tx1"/>
                  </w14:solidFill>
                </w14:textFill>
              </w:rPr>
              <w:t>供应商</w:t>
            </w:r>
            <w:r>
              <w:rPr>
                <w:rFonts w:hint="eastAsia" w:ascii="仿宋" w:hAnsi="仿宋" w:eastAsia="仿宋" w:cs="仿宋"/>
                <w:b/>
                <w:bCs/>
                <w:color w:val="000000" w:themeColor="text1"/>
                <w:spacing w:val="4"/>
                <w:highlight w:val="none"/>
                <w:lang w:val="en-US" w:eastAsia="zh-CN"/>
                <w14:textFill>
                  <w14:solidFill>
                    <w14:schemeClr w14:val="tx1"/>
                  </w14:solidFill>
                </w14:textFill>
              </w:rPr>
              <w:t>C</w:t>
            </w:r>
            <w:r>
              <w:rPr>
                <w:rFonts w:hint="eastAsia" w:ascii="仿宋" w:hAnsi="仿宋" w:eastAsia="仿宋" w:cs="仿宋"/>
                <w:b/>
                <w:bCs/>
                <w:color w:val="000000" w:themeColor="text1"/>
                <w:spacing w:val="4"/>
                <w:highlight w:val="none"/>
                <w14:textFill>
                  <w14:solidFill>
                    <w14:schemeClr w14:val="tx1"/>
                  </w14:solidFill>
                </w14:textFill>
              </w:rPr>
              <w:t>投标折扣90%，共三名</w:t>
            </w:r>
            <w:r>
              <w:rPr>
                <w:rFonts w:hint="eastAsia" w:ascii="仿宋" w:hAnsi="仿宋" w:eastAsia="仿宋" w:cs="仿宋"/>
                <w:b/>
                <w:bCs/>
                <w:color w:val="000000" w:themeColor="text1"/>
                <w:highlight w:val="none"/>
                <w14:textFill>
                  <w14:solidFill>
                    <w14:schemeClr w14:val="tx1"/>
                  </w14:solidFill>
                </w14:textFill>
              </w:rPr>
              <w:t>供应商</w:t>
            </w:r>
            <w:r>
              <w:rPr>
                <w:rFonts w:hint="eastAsia" w:ascii="仿宋" w:hAnsi="仿宋" w:eastAsia="仿宋" w:cs="仿宋"/>
                <w:b/>
                <w:bCs/>
                <w:color w:val="000000" w:themeColor="text1"/>
                <w:spacing w:val="4"/>
                <w:highlight w:val="none"/>
                <w14:textFill>
                  <w14:solidFill>
                    <w14:schemeClr w14:val="tx1"/>
                  </w14:solidFill>
                </w14:textFill>
              </w:rPr>
              <w:t>则评标基准价为80%，各</w:t>
            </w:r>
            <w:r>
              <w:rPr>
                <w:rFonts w:hint="eastAsia" w:ascii="仿宋" w:hAnsi="仿宋" w:eastAsia="仿宋" w:cs="仿宋"/>
                <w:b/>
                <w:bCs/>
                <w:color w:val="000000" w:themeColor="text1"/>
                <w:highlight w:val="none"/>
                <w14:textFill>
                  <w14:solidFill>
                    <w14:schemeClr w14:val="tx1"/>
                  </w14:solidFill>
                </w14:textFill>
              </w:rPr>
              <w:t>供应商</w:t>
            </w:r>
            <w:r>
              <w:rPr>
                <w:rFonts w:hint="eastAsia" w:ascii="仿宋" w:hAnsi="仿宋" w:eastAsia="仿宋" w:cs="仿宋"/>
                <w:b/>
                <w:bCs/>
                <w:color w:val="000000" w:themeColor="text1"/>
                <w:spacing w:val="4"/>
                <w:highlight w:val="none"/>
                <w14:textFill>
                  <w14:solidFill>
                    <w14:schemeClr w14:val="tx1"/>
                  </w14:solidFill>
                </w14:textFill>
              </w:rPr>
              <w:t>报价得分分别为：</w:t>
            </w:r>
            <w:r>
              <w:rPr>
                <w:rFonts w:hint="eastAsia" w:ascii="仿宋" w:hAnsi="仿宋" w:eastAsia="仿宋" w:cs="仿宋"/>
                <w:b/>
                <w:bCs/>
                <w:color w:val="000000" w:themeColor="text1"/>
                <w:highlight w:val="none"/>
                <w14:textFill>
                  <w14:solidFill>
                    <w14:schemeClr w14:val="tx1"/>
                  </w14:solidFill>
                </w14:textFill>
              </w:rPr>
              <w:t>供应商</w:t>
            </w:r>
            <w:r>
              <w:rPr>
                <w:rFonts w:hint="eastAsia" w:ascii="仿宋" w:hAnsi="仿宋" w:eastAsia="仿宋" w:cs="仿宋"/>
                <w:b/>
                <w:bCs/>
                <w:color w:val="000000" w:themeColor="text1"/>
                <w:spacing w:val="4"/>
                <w:highlight w:val="none"/>
                <w14:textFill>
                  <w14:solidFill>
                    <w14:schemeClr w14:val="tx1"/>
                  </w14:solidFill>
                </w14:textFill>
              </w:rPr>
              <w:t>A=（80%/80%）*60=60分，</w:t>
            </w:r>
            <w:r>
              <w:rPr>
                <w:rFonts w:hint="eastAsia" w:ascii="仿宋" w:hAnsi="仿宋" w:eastAsia="仿宋" w:cs="仿宋"/>
                <w:b/>
                <w:bCs/>
                <w:color w:val="000000" w:themeColor="text1"/>
                <w:highlight w:val="none"/>
                <w14:textFill>
                  <w14:solidFill>
                    <w14:schemeClr w14:val="tx1"/>
                  </w14:solidFill>
                </w14:textFill>
              </w:rPr>
              <w:t>供应商</w:t>
            </w:r>
            <w:r>
              <w:rPr>
                <w:rFonts w:hint="eastAsia" w:ascii="仿宋" w:hAnsi="仿宋" w:eastAsia="仿宋" w:cs="仿宋"/>
                <w:b/>
                <w:bCs/>
                <w:color w:val="000000" w:themeColor="text1"/>
                <w:spacing w:val="4"/>
                <w:highlight w:val="none"/>
                <w14:textFill>
                  <w14:solidFill>
                    <w14:schemeClr w14:val="tx1"/>
                  </w14:solidFill>
                </w14:textFill>
              </w:rPr>
              <w:t>B=（80%/85%）*60=56.47分，</w:t>
            </w:r>
            <w:r>
              <w:rPr>
                <w:rFonts w:hint="eastAsia" w:ascii="仿宋" w:hAnsi="仿宋" w:eastAsia="仿宋" w:cs="仿宋"/>
                <w:b/>
                <w:bCs/>
                <w:color w:val="000000" w:themeColor="text1"/>
                <w:highlight w:val="none"/>
                <w14:textFill>
                  <w14:solidFill>
                    <w14:schemeClr w14:val="tx1"/>
                  </w14:solidFill>
                </w14:textFill>
              </w:rPr>
              <w:t>供应商</w:t>
            </w:r>
            <w:r>
              <w:rPr>
                <w:rFonts w:hint="eastAsia" w:ascii="仿宋" w:hAnsi="仿宋" w:eastAsia="仿宋" w:cs="仿宋"/>
                <w:b/>
                <w:bCs/>
                <w:color w:val="000000" w:themeColor="text1"/>
                <w:spacing w:val="4"/>
                <w:highlight w:val="none"/>
                <w14:textFill>
                  <w14:solidFill>
                    <w14:schemeClr w14:val="tx1"/>
                  </w14:solidFill>
                </w14:textFill>
              </w:rPr>
              <w:t>C=（80%/90%）*60=53.33分）</w:t>
            </w:r>
            <w:r>
              <w:rPr>
                <w:rFonts w:hint="eastAsia" w:ascii="仿宋" w:hAnsi="仿宋" w:eastAsia="仿宋" w:cs="仿宋"/>
                <w:b/>
                <w:bCs/>
                <w:color w:val="000000" w:themeColor="text1"/>
                <w:spacing w:val="0"/>
                <w:sz w:val="21"/>
                <w:szCs w:val="24"/>
                <w:highlight w:val="none"/>
                <w14:textFill>
                  <w14:solidFill>
                    <w14:schemeClr w14:val="tx1"/>
                  </w14:solidFill>
                </w14:textFill>
              </w:rPr>
              <w:t xml:space="preserve"> </w:t>
            </w:r>
          </w:p>
        </w:tc>
        <w:tc>
          <w:tcPr>
            <w:tcW w:w="593" w:type="dxa"/>
            <w:noWrap/>
            <w:vAlign w:val="center"/>
          </w:tcPr>
          <w:p w14:paraId="265EA6C9">
            <w:pPr>
              <w:adjustRightInd w:val="0"/>
              <w:snapToGrid w:val="0"/>
              <w:spacing w:line="360" w:lineRule="exact"/>
              <w:jc w:val="center"/>
              <w:rPr>
                <w:rFonts w:hint="default" w:ascii="仿宋" w:hAnsi="仿宋" w:eastAsia="仿宋" w:cs="仿宋"/>
                <w:color w:val="000000" w:themeColor="text1"/>
                <w:szCs w:val="20"/>
                <w:highlight w:val="none"/>
                <w:lang w:val="en-US" w:eastAsia="zh-CN"/>
                <w14:textFill>
                  <w14:solidFill>
                    <w14:schemeClr w14:val="tx1"/>
                  </w14:solidFill>
                </w14:textFill>
              </w:rPr>
            </w:pPr>
          </w:p>
        </w:tc>
      </w:tr>
      <w:tr w14:paraId="1913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8800" w:type="dxa"/>
            <w:gridSpan w:val="5"/>
            <w:noWrap/>
            <w:vAlign w:val="center"/>
          </w:tcPr>
          <w:p w14:paraId="3583B714">
            <w:pPr>
              <w:adjustRightInd w:val="0"/>
              <w:snapToGrid w:val="0"/>
              <w:spacing w:line="360" w:lineRule="exact"/>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商务部分</w:t>
            </w:r>
          </w:p>
        </w:tc>
      </w:tr>
      <w:tr w14:paraId="60C1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7" w:hRule="atLeast"/>
          <w:jc w:val="center"/>
        </w:trPr>
        <w:tc>
          <w:tcPr>
            <w:tcW w:w="1895" w:type="dxa"/>
            <w:noWrap/>
            <w:vAlign w:val="center"/>
          </w:tcPr>
          <w:p w14:paraId="1304BEB6">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业绩</w:t>
            </w:r>
          </w:p>
        </w:tc>
        <w:tc>
          <w:tcPr>
            <w:tcW w:w="652" w:type="dxa"/>
            <w:noWrap/>
            <w:vAlign w:val="center"/>
          </w:tcPr>
          <w:p w14:paraId="381509C9">
            <w:pPr>
              <w:adjustRightInd w:val="0"/>
              <w:snapToGrid w:val="0"/>
              <w:spacing w:line="36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w:t>
            </w:r>
          </w:p>
        </w:tc>
        <w:tc>
          <w:tcPr>
            <w:tcW w:w="5660" w:type="dxa"/>
            <w:gridSpan w:val="2"/>
            <w:noWrap/>
            <w:vAlign w:val="center"/>
          </w:tcPr>
          <w:p w14:paraId="72FAD67C">
            <w:pPr>
              <w:widowControl/>
              <w:adjustRightInd w:val="0"/>
              <w:snapToGrid w:val="0"/>
              <w:spacing w:line="360" w:lineRule="exact"/>
              <w:jc w:val="left"/>
              <w:rPr>
                <w:rFonts w:hint="eastAsia" w:ascii="仿宋" w:hAnsi="仿宋" w:eastAsia="仿宋" w:cs="仿宋"/>
                <w:color w:val="000000" w:themeColor="text1"/>
                <w:spacing w:val="0"/>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sz w:val="21"/>
                <w:szCs w:val="21"/>
                <w:highlight w:val="none"/>
                <w:lang w:val="en-US" w:eastAsia="zh-CN" w:bidi="ar-SA"/>
                <w14:textFill>
                  <w14:solidFill>
                    <w14:schemeClr w14:val="tx1"/>
                  </w14:solidFill>
                </w14:textFill>
              </w:rPr>
              <w:t>提供近三年（投标截止时间前36个月）取得的同类项目业绩，每提供一个得2分，最多计8分。</w:t>
            </w:r>
          </w:p>
          <w:p w14:paraId="1ED4B45A">
            <w:pPr>
              <w:autoSpaceDE/>
              <w:autoSpaceDN/>
              <w:adjustRightInd w:val="0"/>
              <w:snapToGrid w:val="0"/>
              <w:spacing w:after="0" w:line="360" w:lineRule="exact"/>
              <w:jc w:val="left"/>
              <w:rPr>
                <w:rFonts w:eastAsia="仿宋"/>
                <w:color w:val="000000" w:themeColor="text1"/>
                <w:highlight w:val="none"/>
                <w14:textFill>
                  <w14:solidFill>
                    <w14:schemeClr w14:val="tx1"/>
                  </w14:solidFill>
                </w14:textFill>
              </w:rPr>
            </w:pPr>
            <w:r>
              <w:rPr>
                <w:rFonts w:hint="eastAsia" w:ascii="仿宋" w:hAnsi="仿宋" w:eastAsia="仿宋" w:cs="仿宋"/>
                <w:color w:val="000000" w:themeColor="text1"/>
                <w:spacing w:val="0"/>
                <w:kern w:val="2"/>
                <w:sz w:val="21"/>
                <w:szCs w:val="21"/>
                <w:highlight w:val="none"/>
                <w:lang w:val="en-US" w:eastAsia="zh-CN" w:bidi="ar-SA"/>
                <w14:textFill>
                  <w14:solidFill>
                    <w14:schemeClr w14:val="tx1"/>
                  </w14:solidFill>
                </w14:textFill>
              </w:rPr>
              <w:t>注:1、业绩时间以合同签订时间为准。2、供应商应提供合同关键页复印件(合同关键页包括:合同封面、服务内容页及双方签章页:加盖投标人公章)。3、同一项目不同年份的合同按一份业绩计算，不重复计算业绩分数。同一业主在同一招标/采购项目中续签的合同不重复计分。</w:t>
            </w:r>
          </w:p>
        </w:tc>
        <w:tc>
          <w:tcPr>
            <w:tcW w:w="593" w:type="dxa"/>
            <w:noWrap/>
            <w:vAlign w:val="center"/>
          </w:tcPr>
          <w:p w14:paraId="61179525">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r w14:paraId="2AD7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7" w:hRule="atLeast"/>
          <w:jc w:val="center"/>
        </w:trPr>
        <w:tc>
          <w:tcPr>
            <w:tcW w:w="1895" w:type="dxa"/>
            <w:noWrap/>
            <w:vAlign w:val="center"/>
          </w:tcPr>
          <w:p w14:paraId="5B56668B">
            <w:pPr>
              <w:adjustRightInd w:val="0"/>
              <w:snapToGrid w:val="0"/>
              <w:spacing w:line="360" w:lineRule="exact"/>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团队人员</w:t>
            </w:r>
          </w:p>
        </w:tc>
        <w:tc>
          <w:tcPr>
            <w:tcW w:w="652" w:type="dxa"/>
            <w:noWrap/>
            <w:vAlign w:val="center"/>
          </w:tcPr>
          <w:p w14:paraId="41AE60A6">
            <w:pPr>
              <w:adjustRightInd w:val="0"/>
              <w:snapToGrid w:val="0"/>
              <w:spacing w:line="360" w:lineRule="exact"/>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p>
        </w:tc>
        <w:tc>
          <w:tcPr>
            <w:tcW w:w="5660" w:type="dxa"/>
            <w:gridSpan w:val="2"/>
            <w:noWrap/>
            <w:vAlign w:val="center"/>
          </w:tcPr>
          <w:p w14:paraId="00F971CD">
            <w:pPr>
              <w:autoSpaceDE/>
              <w:autoSpaceDN/>
              <w:adjustRightInd w:val="0"/>
              <w:snapToGrid w:val="0"/>
              <w:spacing w:after="0" w:line="360" w:lineRule="exact"/>
              <w:jc w:val="left"/>
              <w:rPr>
                <w:rFonts w:hint="eastAsia" w:ascii="仿宋" w:hAnsi="仿宋" w:eastAsia="仿宋" w:cs="仿宋"/>
                <w:color w:val="000000" w:themeColor="text1"/>
                <w:spacing w:val="0"/>
                <w:kern w:val="2"/>
                <w:sz w:val="21"/>
                <w:szCs w:val="21"/>
                <w:highlight w:val="none"/>
                <w:lang w:val="en-US" w:eastAsia="zh-CN" w:bidi="ar-SA"/>
                <w14:textFill>
                  <w14:solidFill>
                    <w14:schemeClr w14:val="tx1"/>
                  </w14:solidFill>
                </w14:textFill>
              </w:rPr>
            </w:pPr>
            <w:r>
              <w:rPr>
                <w:rFonts w:ascii="仿宋_GB2312" w:hAnsi="仿宋_GB2312" w:eastAsia="仿宋_GB2312" w:cs="仿宋_GB2312"/>
                <w:highlight w:val="none"/>
              </w:rPr>
              <w:t>根据</w:t>
            </w:r>
            <w:r>
              <w:rPr>
                <w:rFonts w:hint="eastAsia" w:ascii="仿宋_GB2312" w:hAnsi="仿宋_GB2312" w:eastAsia="仿宋_GB2312" w:cs="仿宋_GB2312"/>
                <w:highlight w:val="none"/>
                <w:lang w:val="en-US" w:eastAsia="zh-CN"/>
              </w:rPr>
              <w:t>供应商</w:t>
            </w:r>
            <w:r>
              <w:rPr>
                <w:rFonts w:ascii="仿宋_GB2312" w:hAnsi="仿宋_GB2312" w:eastAsia="仿宋_GB2312" w:cs="仿宋_GB2312"/>
                <w:highlight w:val="none"/>
              </w:rPr>
              <w:t>为本项目拟配备的团队人员中具有医药卫生技术相关人员情况进行评分：</w:t>
            </w:r>
            <w:r>
              <w:rPr>
                <w:rFonts w:ascii="仿宋_GB2312" w:hAnsi="仿宋_GB2312" w:eastAsia="仿宋_GB2312" w:cs="仿宋_GB2312"/>
                <w:highlight w:val="none"/>
              </w:rPr>
              <w:br w:type="textWrapping"/>
            </w:r>
            <w:r>
              <w:rPr>
                <w:rFonts w:hint="eastAsia" w:ascii="仿宋_GB2312" w:hAnsi="仿宋_GB2312" w:eastAsia="仿宋_GB2312" w:cs="仿宋_GB2312"/>
                <w:highlight w:val="none"/>
                <w:lang w:val="en-US" w:eastAsia="zh-CN"/>
              </w:rPr>
              <w:t>1、提供一名</w:t>
            </w:r>
            <w:r>
              <w:rPr>
                <w:rFonts w:ascii="仿宋_GB2312" w:hAnsi="仿宋_GB2312" w:eastAsia="仿宋_GB2312" w:cs="仿宋_GB2312"/>
                <w:highlight w:val="none"/>
              </w:rPr>
              <w:t>具有医药卫生相关专业副高级职称及以上的得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分；</w:t>
            </w:r>
            <w:r>
              <w:rPr>
                <w:rFonts w:ascii="仿宋_GB2312" w:hAnsi="仿宋_GB2312" w:eastAsia="仿宋_GB2312" w:cs="仿宋_GB2312"/>
                <w:highlight w:val="none"/>
              </w:rPr>
              <w:br w:type="textWrapping"/>
            </w:r>
            <w:r>
              <w:rPr>
                <w:rFonts w:hint="eastAsia" w:ascii="仿宋_GB2312" w:hAnsi="仿宋_GB2312" w:eastAsia="仿宋_GB2312" w:cs="仿宋_GB2312"/>
                <w:highlight w:val="none"/>
                <w:lang w:val="en-US" w:eastAsia="zh-CN"/>
              </w:rPr>
              <w:t>2、提供一名</w:t>
            </w:r>
            <w:r>
              <w:rPr>
                <w:rFonts w:ascii="仿宋_GB2312" w:hAnsi="仿宋_GB2312" w:eastAsia="仿宋_GB2312" w:cs="仿宋_GB2312"/>
                <w:highlight w:val="none"/>
              </w:rPr>
              <w:t>医药卫生相关专业中级职称的得</w:t>
            </w:r>
            <w:r>
              <w:rPr>
                <w:rFonts w:hint="eastAsia" w:ascii="仿宋_GB2312" w:hAnsi="仿宋_GB2312" w:eastAsia="仿宋_GB2312" w:cs="仿宋_GB2312"/>
                <w:highlight w:val="none"/>
                <w:lang w:val="en-US" w:eastAsia="zh-CN"/>
              </w:rPr>
              <w:t>0.5</w:t>
            </w:r>
            <w:r>
              <w:rPr>
                <w:rFonts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最高计1</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br w:type="textWrapping"/>
            </w:r>
            <w:r>
              <w:rPr>
                <w:rFonts w:hint="eastAsia" w:ascii="仿宋_GB2312" w:hAnsi="仿宋_GB2312" w:eastAsia="仿宋_GB2312" w:cs="仿宋_GB2312"/>
                <w:highlight w:val="none"/>
                <w:lang w:val="en-US" w:eastAsia="zh-CN"/>
              </w:rPr>
              <w:t>注：</w:t>
            </w:r>
            <w:r>
              <w:rPr>
                <w:rFonts w:ascii="仿宋_GB2312" w:hAnsi="仿宋_GB2312" w:eastAsia="仿宋_GB2312" w:cs="仿宋_GB2312"/>
                <w:highlight w:val="none"/>
              </w:rPr>
              <w:t>须提供相关人员证书及投标截止时间止近六个月任意一个月（不含投标截止当月）社保证明材料。材料提供不全或未提供材料本项不得分。</w:t>
            </w:r>
          </w:p>
        </w:tc>
        <w:tc>
          <w:tcPr>
            <w:tcW w:w="593" w:type="dxa"/>
            <w:noWrap/>
            <w:vAlign w:val="center"/>
          </w:tcPr>
          <w:p w14:paraId="10100015">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r w14:paraId="254C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7" w:hRule="atLeast"/>
          <w:jc w:val="center"/>
        </w:trPr>
        <w:tc>
          <w:tcPr>
            <w:tcW w:w="1895" w:type="dxa"/>
            <w:noWrap/>
            <w:vAlign w:val="center"/>
          </w:tcPr>
          <w:p w14:paraId="3F497514">
            <w:pPr>
              <w:widowControl/>
              <w:autoSpaceDE w:val="0"/>
              <w:autoSpaceDN w:val="0"/>
              <w:adjustRightInd w:val="0"/>
              <w:spacing w:after="120"/>
              <w:jc w:val="center"/>
              <w:rPr>
                <w:rFonts w:hint="eastAsia" w:ascii="仿宋" w:hAnsi="仿宋" w:eastAsia="仿宋" w:cs="宋体"/>
                <w:color w:val="000000" w:themeColor="text1"/>
                <w:kern w:val="0"/>
                <w:highlight w:val="none"/>
                <w14:textFill>
                  <w14:solidFill>
                    <w14:schemeClr w14:val="tx1"/>
                  </w14:solidFill>
                </w14:textFill>
              </w:rPr>
            </w:pPr>
            <w:r>
              <w:rPr>
                <w:rFonts w:hint="eastAsia" w:ascii="仿宋" w:hAnsi="仿宋" w:eastAsia="仿宋" w:cs="宋体"/>
                <w:color w:val="000000" w:themeColor="text1"/>
                <w:kern w:val="0"/>
                <w:highlight w:val="none"/>
                <w14:textFill>
                  <w14:solidFill>
                    <w14:schemeClr w14:val="tx1"/>
                  </w14:solidFill>
                </w14:textFill>
              </w:rPr>
              <w:t>运输能力</w:t>
            </w:r>
          </w:p>
        </w:tc>
        <w:tc>
          <w:tcPr>
            <w:tcW w:w="652" w:type="dxa"/>
            <w:noWrap/>
            <w:vAlign w:val="center"/>
          </w:tcPr>
          <w:p w14:paraId="001D5F34">
            <w:pPr>
              <w:widowControl/>
              <w:autoSpaceDE w:val="0"/>
              <w:autoSpaceDN w:val="0"/>
              <w:adjustRightInd w:val="0"/>
              <w:spacing w:after="120"/>
              <w:jc w:val="center"/>
              <w:rPr>
                <w:rFonts w:hint="eastAsia" w:ascii="仿宋" w:hAnsi="仿宋" w:eastAsia="仿宋" w:cs="宋体"/>
                <w:color w:val="000000" w:themeColor="text1"/>
                <w:kern w:val="0"/>
                <w:highlight w:val="none"/>
                <w:lang w:eastAsia="zh-CN"/>
                <w14:textFill>
                  <w14:solidFill>
                    <w14:schemeClr w14:val="tx1"/>
                  </w14:solidFill>
                </w14:textFill>
              </w:rPr>
            </w:pPr>
            <w:r>
              <w:rPr>
                <w:rFonts w:hint="eastAsia" w:ascii="仿宋" w:hAnsi="仿宋" w:eastAsia="仿宋" w:cs="宋体"/>
                <w:color w:val="000000" w:themeColor="text1"/>
                <w:kern w:val="0"/>
                <w:highlight w:val="none"/>
                <w:lang w:val="en-US" w:eastAsia="zh-CN"/>
                <w14:textFill>
                  <w14:solidFill>
                    <w14:schemeClr w14:val="tx1"/>
                  </w14:solidFill>
                </w14:textFill>
              </w:rPr>
              <w:t>2</w:t>
            </w:r>
          </w:p>
        </w:tc>
        <w:tc>
          <w:tcPr>
            <w:tcW w:w="5660" w:type="dxa"/>
            <w:gridSpan w:val="2"/>
            <w:noWrap/>
            <w:vAlign w:val="center"/>
          </w:tcPr>
          <w:p w14:paraId="243F5BA4">
            <w:pPr>
              <w:numPr>
                <w:ilvl w:val="255"/>
                <w:numId w:val="0"/>
              </w:numPr>
              <w:autoSpaceDE w:val="0"/>
              <w:autoSpaceDN w:val="0"/>
              <w:adjustRightInd w:val="0"/>
              <w:spacing w:after="120"/>
              <w:jc w:val="left"/>
              <w:rPr>
                <w:rStyle w:val="39"/>
                <w:rFonts w:ascii="Segoe UI" w:hAnsi="Segoe UI" w:cs="Segoe UI"/>
                <w:color w:val="000000" w:themeColor="text1"/>
                <w:sz w:val="19"/>
                <w:szCs w:val="19"/>
                <w:highlight w:val="none"/>
                <w14:textFill>
                  <w14:solidFill>
                    <w14:schemeClr w14:val="tx1"/>
                  </w14:solidFill>
                </w14:textFill>
              </w:rPr>
            </w:pPr>
            <w:r>
              <w:rPr>
                <w:rFonts w:ascii="仿宋_GB2312" w:hAnsi="仿宋_GB2312" w:eastAsia="仿宋_GB2312" w:cs="仿宋_GB2312"/>
                <w:highlight w:val="none"/>
              </w:rPr>
              <w:t>根据</w:t>
            </w:r>
            <w:r>
              <w:rPr>
                <w:rFonts w:hint="eastAsia" w:ascii="仿宋_GB2312" w:hAnsi="仿宋_GB2312" w:eastAsia="仿宋_GB2312" w:cs="仿宋_GB2312"/>
                <w:highlight w:val="none"/>
                <w:lang w:val="en-US" w:eastAsia="zh-CN"/>
              </w:rPr>
              <w:t>供应商</w:t>
            </w:r>
            <w:r>
              <w:rPr>
                <w:rFonts w:ascii="仿宋_GB2312" w:hAnsi="仿宋_GB2312" w:eastAsia="仿宋_GB2312" w:cs="仿宋_GB2312"/>
                <w:highlight w:val="none"/>
              </w:rPr>
              <w:t>拟投入本项目的配送车辆情况进行评分：</w:t>
            </w:r>
            <w:r>
              <w:rPr>
                <w:rFonts w:ascii="仿宋_GB2312" w:hAnsi="仿宋_GB2312" w:eastAsia="仿宋_GB2312" w:cs="仿宋_GB2312"/>
                <w:highlight w:val="none"/>
              </w:rPr>
              <w:br w:type="textWrapping"/>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辆冷链运输车的得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w:t>
            </w:r>
            <w:r>
              <w:rPr>
                <w:rFonts w:ascii="仿宋_GB2312" w:hAnsi="仿宋_GB2312" w:eastAsia="仿宋_GB2312" w:cs="仿宋_GB2312"/>
                <w:highlight w:val="none"/>
              </w:rPr>
              <w:br w:type="textWrapping"/>
            </w:r>
            <w:r>
              <w:rPr>
                <w:rFonts w:hint="eastAsia" w:ascii="仿宋_GB2312" w:hAnsi="仿宋_GB2312" w:eastAsia="仿宋_GB2312" w:cs="仿宋_GB2312"/>
                <w:highlight w:val="none"/>
                <w:lang w:val="en-US" w:eastAsia="zh-CN"/>
              </w:rPr>
              <w:t>2、1</w:t>
            </w:r>
            <w:r>
              <w:rPr>
                <w:rFonts w:ascii="仿宋_GB2312" w:hAnsi="仿宋_GB2312" w:eastAsia="仿宋_GB2312" w:cs="仿宋_GB2312"/>
                <w:highlight w:val="none"/>
              </w:rPr>
              <w:t>辆冷链运输车的得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eastAsia="zh-CN"/>
              </w:rPr>
              <w:br w:type="textWrapping"/>
            </w:r>
            <w:r>
              <w:rPr>
                <w:rFonts w:hint="eastAsia" w:ascii="仿宋_GB2312" w:hAnsi="仿宋_GB2312" w:eastAsia="仿宋_GB2312" w:cs="仿宋_GB2312"/>
                <w:highlight w:val="none"/>
                <w:lang w:val="en-US" w:eastAsia="zh-CN"/>
              </w:rPr>
              <w:t>注：</w:t>
            </w:r>
            <w:r>
              <w:rPr>
                <w:rFonts w:ascii="仿宋_GB2312" w:hAnsi="仿宋_GB2312" w:eastAsia="仿宋_GB2312" w:cs="仿宋_GB2312"/>
                <w:highlight w:val="none"/>
              </w:rPr>
              <w:t>(1)若车辆为自有的则须提供①车辆行驶证②车辆购买发票或机动车登记证③车辆照片（含车牌号）；(2)若车辆为租赁的则须提供车辆行驶证、车辆照片（含车牌号）、租赁合同。上述材料未提供或提供不全的不得分。</w:t>
            </w:r>
          </w:p>
        </w:tc>
        <w:tc>
          <w:tcPr>
            <w:tcW w:w="593" w:type="dxa"/>
            <w:noWrap/>
            <w:vAlign w:val="center"/>
          </w:tcPr>
          <w:p w14:paraId="2DAB724B">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r w14:paraId="48B2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8" w:hRule="atLeast"/>
          <w:jc w:val="center"/>
        </w:trPr>
        <w:tc>
          <w:tcPr>
            <w:tcW w:w="1895" w:type="dxa"/>
            <w:noWrap/>
            <w:vAlign w:val="center"/>
          </w:tcPr>
          <w:p w14:paraId="7ECC7B18">
            <w:pPr>
              <w:widowControl/>
              <w:jc w:val="center"/>
              <w:rPr>
                <w:rFonts w:hint="eastAsia" w:ascii="仿宋" w:hAnsi="仿宋" w:eastAsia="仿宋" w:cs="宋体"/>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售后能力</w:t>
            </w:r>
          </w:p>
        </w:tc>
        <w:tc>
          <w:tcPr>
            <w:tcW w:w="652" w:type="dxa"/>
            <w:noWrap/>
            <w:vAlign w:val="center"/>
          </w:tcPr>
          <w:p w14:paraId="059B3D19">
            <w:pPr>
              <w:widowControl/>
              <w:jc w:val="center"/>
              <w:rPr>
                <w:rFonts w:hint="eastAsia" w:ascii="仿宋" w:hAnsi="仿宋" w:eastAsia="仿宋" w:cs="宋体"/>
                <w:color w:val="000000" w:themeColor="text1"/>
                <w:kern w:val="0"/>
                <w:highlight w:val="none"/>
                <w:lang w:eastAsia="zh-CN"/>
                <w14:textFill>
                  <w14:solidFill>
                    <w14:schemeClr w14:val="tx1"/>
                  </w14:solidFill>
                </w14:textFill>
              </w:rPr>
            </w:pPr>
            <w:r>
              <w:rPr>
                <w:rFonts w:hint="eastAsia" w:ascii="仿宋" w:hAnsi="仿宋" w:eastAsia="仿宋" w:cs="宋体"/>
                <w:color w:val="000000" w:themeColor="text1"/>
                <w:kern w:val="0"/>
                <w:highlight w:val="none"/>
                <w:lang w:val="en-US" w:eastAsia="zh-CN"/>
                <w14:textFill>
                  <w14:solidFill>
                    <w14:schemeClr w14:val="tx1"/>
                  </w14:solidFill>
                </w14:textFill>
              </w:rPr>
              <w:t>3</w:t>
            </w:r>
          </w:p>
        </w:tc>
        <w:tc>
          <w:tcPr>
            <w:tcW w:w="5660" w:type="dxa"/>
            <w:gridSpan w:val="2"/>
            <w:noWrap/>
            <w:vAlign w:val="center"/>
          </w:tcPr>
          <w:p w14:paraId="6732CBC6">
            <w:pPr>
              <w:widowControl/>
              <w:jc w:val="left"/>
              <w:rPr>
                <w:rFonts w:hint="eastAsia" w:ascii="仿宋" w:hAnsi="仿宋" w:eastAsia="仿宋" w:cs="宋体"/>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供应商提供所投包号内制造商售后服务承诺书的，</w:t>
            </w:r>
            <w:r>
              <w:rPr>
                <w:rFonts w:hint="eastAsia" w:ascii="仿宋" w:hAnsi="仿宋" w:eastAsia="仿宋" w:cs="仿宋"/>
                <w:color w:val="000000" w:themeColor="text1"/>
                <w:kern w:val="0"/>
                <w:highlight w:val="none"/>
                <w:lang w:val="en-US" w:eastAsia="zh-CN"/>
                <w14:textFill>
                  <w14:solidFill>
                    <w14:schemeClr w14:val="tx1"/>
                  </w14:solidFill>
                </w14:textFill>
              </w:rPr>
              <w:t>计3分</w:t>
            </w:r>
            <w:r>
              <w:rPr>
                <w:rFonts w:hint="eastAsia" w:ascii="仿宋" w:hAnsi="仿宋" w:eastAsia="仿宋" w:cs="仿宋"/>
                <w:color w:val="000000" w:themeColor="text1"/>
                <w:kern w:val="0"/>
                <w:highlight w:val="none"/>
                <w14:textFill>
                  <w14:solidFill>
                    <w14:schemeClr w14:val="tx1"/>
                  </w14:solidFill>
                </w14:textFill>
              </w:rPr>
              <w:t>，未提供</w:t>
            </w:r>
            <w:r>
              <w:rPr>
                <w:rFonts w:hint="eastAsia" w:ascii="仿宋" w:hAnsi="仿宋" w:eastAsia="仿宋" w:cs="仿宋"/>
                <w:color w:val="000000" w:themeColor="text1"/>
                <w:kern w:val="0"/>
                <w:highlight w:val="none"/>
                <w:lang w:val="en-US" w:eastAsia="zh-CN"/>
                <w14:textFill>
                  <w14:solidFill>
                    <w14:schemeClr w14:val="tx1"/>
                  </w14:solidFill>
                </w14:textFill>
              </w:rPr>
              <w:t>或提供不全的</w:t>
            </w:r>
            <w:r>
              <w:rPr>
                <w:rFonts w:hint="eastAsia" w:ascii="仿宋" w:hAnsi="仿宋" w:eastAsia="仿宋" w:cs="仿宋"/>
                <w:color w:val="000000" w:themeColor="text1"/>
                <w:kern w:val="0"/>
                <w:highlight w:val="none"/>
                <w14:textFill>
                  <w14:solidFill>
                    <w14:schemeClr w14:val="tx1"/>
                  </w14:solidFill>
                </w14:textFill>
              </w:rPr>
              <w:t>不计分。</w:t>
            </w:r>
          </w:p>
        </w:tc>
        <w:tc>
          <w:tcPr>
            <w:tcW w:w="593" w:type="dxa"/>
            <w:noWrap/>
            <w:vAlign w:val="center"/>
          </w:tcPr>
          <w:p w14:paraId="22C05CBF">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r w14:paraId="5D25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8" w:hRule="atLeast"/>
          <w:jc w:val="center"/>
        </w:trPr>
        <w:tc>
          <w:tcPr>
            <w:tcW w:w="1895" w:type="dxa"/>
            <w:shd w:val="clear" w:color="auto" w:fill="auto"/>
            <w:noWrap/>
            <w:vAlign w:val="center"/>
          </w:tcPr>
          <w:p w14:paraId="4E9796A4">
            <w:pPr>
              <w:spacing w:line="360" w:lineRule="exact"/>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制造商授权</w:t>
            </w:r>
          </w:p>
        </w:tc>
        <w:tc>
          <w:tcPr>
            <w:tcW w:w="652" w:type="dxa"/>
            <w:shd w:val="clear" w:color="auto" w:fill="auto"/>
            <w:noWrap/>
            <w:vAlign w:val="center"/>
          </w:tcPr>
          <w:p w14:paraId="759199C9">
            <w:pPr>
              <w:adjustRightInd w:val="0"/>
              <w:snapToGrid w:val="0"/>
              <w:spacing w:line="360" w:lineRule="exact"/>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5660" w:type="dxa"/>
            <w:gridSpan w:val="2"/>
            <w:shd w:val="clear" w:color="auto" w:fill="auto"/>
            <w:noWrap/>
            <w:vAlign w:val="center"/>
          </w:tcPr>
          <w:p w14:paraId="087922C6">
            <w:pPr>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 xml:space="preserve">供应商为生产企业或生产企业直接授权的代理商的计 </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2"/>
                <w:sz w:val="21"/>
                <w:szCs w:val="21"/>
                <w:highlight w:val="none"/>
                <w14:textFill>
                  <w14:solidFill>
                    <w14:schemeClr w14:val="tx1"/>
                  </w14:solidFill>
                </w14:textFill>
              </w:rPr>
              <w:t xml:space="preserve"> 分，进口产品国内总代视同为生产企业。</w:t>
            </w:r>
            <w:r>
              <w:rPr>
                <w:rFonts w:hint="eastAsia" w:ascii="仿宋" w:hAnsi="仿宋" w:eastAsia="仿宋" w:cs="仿宋"/>
                <w:color w:val="000000" w:themeColor="text1"/>
                <w:kern w:val="2"/>
                <w:highlight w:val="none"/>
                <w14:textFill>
                  <w14:solidFill>
                    <w14:schemeClr w14:val="tx1"/>
                  </w14:solidFill>
                </w14:textFill>
              </w:rPr>
              <w:t>未提供</w:t>
            </w:r>
            <w:r>
              <w:rPr>
                <w:rFonts w:hint="eastAsia" w:ascii="仿宋" w:hAnsi="仿宋" w:eastAsia="仿宋" w:cs="仿宋"/>
                <w:color w:val="000000" w:themeColor="text1"/>
                <w:kern w:val="2"/>
                <w:highlight w:val="none"/>
                <w:lang w:val="en-US" w:eastAsia="zh-CN"/>
                <w14:textFill>
                  <w14:solidFill>
                    <w14:schemeClr w14:val="tx1"/>
                  </w14:solidFill>
                </w14:textFill>
              </w:rPr>
              <w:t>或提供不全的</w:t>
            </w:r>
            <w:r>
              <w:rPr>
                <w:rFonts w:hint="eastAsia" w:ascii="仿宋" w:hAnsi="仿宋" w:eastAsia="仿宋" w:cs="仿宋"/>
                <w:color w:val="000000" w:themeColor="text1"/>
                <w:kern w:val="2"/>
                <w:highlight w:val="none"/>
                <w14:textFill>
                  <w14:solidFill>
                    <w14:schemeClr w14:val="tx1"/>
                  </w14:solidFill>
                </w14:textFill>
              </w:rPr>
              <w:t>不计分。</w:t>
            </w:r>
          </w:p>
        </w:tc>
        <w:tc>
          <w:tcPr>
            <w:tcW w:w="593" w:type="dxa"/>
            <w:noWrap/>
            <w:vAlign w:val="center"/>
          </w:tcPr>
          <w:p w14:paraId="4A641754">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r w14:paraId="436B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8800" w:type="dxa"/>
            <w:gridSpan w:val="5"/>
            <w:noWrap/>
            <w:vAlign w:val="center"/>
          </w:tcPr>
          <w:p w14:paraId="118F5991">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技术部分</w:t>
            </w:r>
          </w:p>
        </w:tc>
      </w:tr>
      <w:tr w14:paraId="3A9B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1895" w:type="dxa"/>
            <w:noWrap/>
            <w:vAlign w:val="center"/>
          </w:tcPr>
          <w:p w14:paraId="1724EC9C">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计分因素</w:t>
            </w:r>
          </w:p>
        </w:tc>
        <w:tc>
          <w:tcPr>
            <w:tcW w:w="652" w:type="dxa"/>
            <w:noWrap/>
            <w:vAlign w:val="center"/>
          </w:tcPr>
          <w:p w14:paraId="7E95ED71">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分值</w:t>
            </w:r>
          </w:p>
        </w:tc>
        <w:tc>
          <w:tcPr>
            <w:tcW w:w="5660" w:type="dxa"/>
            <w:gridSpan w:val="2"/>
            <w:noWrap/>
            <w:vAlign w:val="center"/>
          </w:tcPr>
          <w:p w14:paraId="58C300E9">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评分标准</w:t>
            </w:r>
          </w:p>
        </w:tc>
        <w:tc>
          <w:tcPr>
            <w:tcW w:w="593" w:type="dxa"/>
            <w:noWrap/>
            <w:vAlign w:val="center"/>
          </w:tcPr>
          <w:p w14:paraId="4C06C409">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评分</w:t>
            </w:r>
          </w:p>
        </w:tc>
      </w:tr>
      <w:tr w14:paraId="0B5B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9" w:hRule="atLeast"/>
          <w:jc w:val="center"/>
        </w:trPr>
        <w:tc>
          <w:tcPr>
            <w:tcW w:w="1895" w:type="dxa"/>
            <w:noWrap/>
            <w:vAlign w:val="center"/>
          </w:tcPr>
          <w:p w14:paraId="7511E2E3">
            <w:pPr>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遴选文件响应程度</w:t>
            </w:r>
          </w:p>
        </w:tc>
        <w:tc>
          <w:tcPr>
            <w:tcW w:w="652" w:type="dxa"/>
            <w:noWrap/>
            <w:vAlign w:val="center"/>
          </w:tcPr>
          <w:p w14:paraId="4A3A10CE">
            <w:pPr>
              <w:adjustRightInd w:val="0"/>
              <w:snapToGrid w:val="0"/>
              <w:spacing w:line="360" w:lineRule="exact"/>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5660" w:type="dxa"/>
            <w:gridSpan w:val="2"/>
            <w:noWrap/>
            <w:vAlign w:val="center"/>
          </w:tcPr>
          <w:p w14:paraId="0FC833E9">
            <w:pPr>
              <w:spacing w:line="240"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符合遴选文件要求无负偏离的计</w:t>
            </w: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分；一般技术参数（非“★”及非“▲”参数）有负偏离的，每一项扣</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分，扣完为止。</w:t>
            </w:r>
          </w:p>
          <w:p w14:paraId="0DD31A1C">
            <w:pPr>
              <w:jc w:val="left"/>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注：负偏离包括但不限于：缺漏项、技术参数不明、配置不详等。</w:t>
            </w:r>
          </w:p>
        </w:tc>
        <w:tc>
          <w:tcPr>
            <w:tcW w:w="593" w:type="dxa"/>
            <w:noWrap/>
            <w:vAlign w:val="center"/>
          </w:tcPr>
          <w:p w14:paraId="769D4B35">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r w14:paraId="4E00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20" w:hRule="atLeast"/>
          <w:jc w:val="center"/>
        </w:trPr>
        <w:tc>
          <w:tcPr>
            <w:tcW w:w="1895" w:type="dxa"/>
            <w:noWrap/>
            <w:vAlign w:val="center"/>
          </w:tcPr>
          <w:p w14:paraId="4245425C">
            <w:pPr>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项目配送方案</w:t>
            </w:r>
          </w:p>
        </w:tc>
        <w:tc>
          <w:tcPr>
            <w:tcW w:w="652" w:type="dxa"/>
            <w:noWrap/>
            <w:vAlign w:val="center"/>
          </w:tcPr>
          <w:p w14:paraId="760FA02E">
            <w:pPr>
              <w:adjustRightInd w:val="0"/>
              <w:snapToGrid w:val="0"/>
              <w:spacing w:line="360" w:lineRule="exact"/>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10</w:t>
            </w:r>
          </w:p>
        </w:tc>
        <w:tc>
          <w:tcPr>
            <w:tcW w:w="5660" w:type="dxa"/>
            <w:gridSpan w:val="2"/>
            <w:noWrap/>
            <w:vAlign w:val="center"/>
          </w:tcPr>
          <w:p w14:paraId="6FC7C80A">
            <w:pPr>
              <w:pStyle w:val="12"/>
              <w:rPr>
                <w:rFonts w:hint="eastAsia" w:ascii="仿宋" w:hAnsi="仿宋" w:eastAsia="仿宋" w:cs="宋体"/>
                <w:color w:val="000000" w:themeColor="text1"/>
                <w:kern w:val="0"/>
                <w:highlight w:val="none"/>
                <w:lang w:val="en-US" w:eastAsia="zh-CN"/>
                <w14:textFill>
                  <w14:solidFill>
                    <w14:schemeClr w14:val="tx1"/>
                  </w14:solidFill>
                </w14:textFill>
              </w:rPr>
            </w:pPr>
            <w:r>
              <w:rPr>
                <w:rFonts w:hint="eastAsia" w:ascii="仿宋" w:hAnsi="仿宋" w:eastAsia="仿宋" w:cs="宋体"/>
                <w:color w:val="000000" w:themeColor="text1"/>
                <w:kern w:val="0"/>
                <w:highlight w:val="none"/>
                <w:lang w:val="en-US" w:eastAsia="zh-CN"/>
                <w14:textFill>
                  <w14:solidFill>
                    <w14:schemeClr w14:val="tx1"/>
                  </w14:solidFill>
                </w14:textFill>
              </w:rPr>
              <w:t>根据</w:t>
            </w:r>
            <w:r>
              <w:rPr>
                <w:rFonts w:hint="eastAsia" w:ascii="仿宋" w:hAnsi="仿宋" w:eastAsia="仿宋" w:cs="宋体"/>
                <w:color w:val="000000" w:themeColor="text1"/>
                <w:kern w:val="0"/>
                <w:highlight w:val="none"/>
                <w14:textFill>
                  <w14:solidFill>
                    <w14:schemeClr w14:val="tx1"/>
                  </w14:solidFill>
                </w14:textFill>
              </w:rPr>
              <w:t>供应商根据本项目提供项目配送安排，重点考虑供应商如何有效地组织安排，包括但不限于:</w:t>
            </w:r>
            <w:r>
              <w:rPr>
                <w:rFonts w:ascii="仿宋_GB2312" w:hAnsi="仿宋_GB2312" w:eastAsia="仿宋_GB2312" w:cs="仿宋_GB2312"/>
                <w:highlight w:val="none"/>
              </w:rPr>
              <w:t>①实施方案②项目进度计划③货物配送④交货安排⑤验收管理等</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由评委进行评分</w:t>
            </w:r>
            <w:r>
              <w:rPr>
                <w:rFonts w:hint="eastAsia" w:ascii="仿宋" w:hAnsi="仿宋" w:eastAsia="仿宋" w:cs="宋体"/>
                <w:color w:val="000000" w:themeColor="text1"/>
                <w:kern w:val="0"/>
                <w:highlight w:val="none"/>
                <w14:textFill>
                  <w14:solidFill>
                    <w14:schemeClr w14:val="tx1"/>
                  </w14:solidFill>
                </w14:textFill>
              </w:rPr>
              <w:t>，每缺少一项以上内容扣</w:t>
            </w:r>
            <w:r>
              <w:rPr>
                <w:rFonts w:hint="eastAsia" w:ascii="仿宋" w:hAnsi="仿宋" w:eastAsia="仿宋" w:cs="宋体"/>
                <w:color w:val="000000" w:themeColor="text1"/>
                <w:kern w:val="0"/>
                <w:highlight w:val="none"/>
                <w:lang w:val="en-US" w:eastAsia="zh-CN"/>
                <w14:textFill>
                  <w14:solidFill>
                    <w14:schemeClr w14:val="tx1"/>
                  </w14:solidFill>
                </w14:textFill>
              </w:rPr>
              <w:t>2</w:t>
            </w:r>
            <w:r>
              <w:rPr>
                <w:rFonts w:hint="eastAsia" w:ascii="仿宋" w:hAnsi="仿宋" w:eastAsia="仿宋" w:cs="宋体"/>
                <w:color w:val="000000" w:themeColor="text1"/>
                <w:kern w:val="0"/>
                <w:highlight w:val="none"/>
                <w14:textFill>
                  <w14:solidFill>
                    <w14:schemeClr w14:val="tx1"/>
                  </w14:solidFill>
                </w14:textFill>
              </w:rPr>
              <w:t>分，内容不合理或不完善的每处扣</w:t>
            </w:r>
            <w:r>
              <w:rPr>
                <w:rFonts w:hint="eastAsia" w:ascii="仿宋" w:hAnsi="仿宋" w:eastAsia="仿宋" w:cs="宋体"/>
                <w:color w:val="000000" w:themeColor="text1"/>
                <w:kern w:val="0"/>
                <w:highlight w:val="none"/>
                <w:lang w:val="en-US" w:eastAsia="zh-CN"/>
                <w14:textFill>
                  <w14:solidFill>
                    <w14:schemeClr w14:val="tx1"/>
                  </w14:solidFill>
                </w14:textFill>
              </w:rPr>
              <w:t>1</w:t>
            </w:r>
            <w:r>
              <w:rPr>
                <w:rFonts w:hint="eastAsia" w:ascii="仿宋" w:hAnsi="仿宋" w:eastAsia="仿宋" w:cs="宋体"/>
                <w:color w:val="000000" w:themeColor="text1"/>
                <w:kern w:val="0"/>
                <w:highlight w:val="none"/>
                <w14:textFill>
                  <w14:solidFill>
                    <w14:schemeClr w14:val="tx1"/>
                  </w14:solidFill>
                </w14:textFill>
              </w:rPr>
              <w:t>分，扣完为止，未提供不计分。</w:t>
            </w:r>
          </w:p>
          <w:p w14:paraId="7FE89F49">
            <w:pPr>
              <w:pStyle w:val="2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宋体"/>
                <w:b w:val="0"/>
                <w:bCs w:val="0"/>
                <w:color w:val="000000" w:themeColor="text1"/>
                <w:kern w:val="0"/>
                <w:highlight w:val="none"/>
                <w14:textFill>
                  <w14:solidFill>
                    <w14:schemeClr w14:val="tx1"/>
                  </w14:solidFill>
                </w14:textFill>
              </w:rPr>
              <w:t>注：内容不合理或不完善是指：非专门针对本项目或不适用项目特性的情形、内容不完整或缺少关键节点、套用其他项目方案，内容前后矛盾，规范及标准错误，不利于项目实施，不可能实现的情形等任意一种情形。</w:t>
            </w:r>
          </w:p>
        </w:tc>
        <w:tc>
          <w:tcPr>
            <w:tcW w:w="593" w:type="dxa"/>
            <w:noWrap/>
            <w:vAlign w:val="center"/>
          </w:tcPr>
          <w:p w14:paraId="1A33BDB1">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r w14:paraId="4076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62" w:hRule="atLeast"/>
          <w:jc w:val="center"/>
        </w:trPr>
        <w:tc>
          <w:tcPr>
            <w:tcW w:w="1895" w:type="dxa"/>
            <w:shd w:val="clear" w:color="auto" w:fill="auto"/>
            <w:noWrap/>
            <w:vAlign w:val="center"/>
          </w:tcPr>
          <w:p w14:paraId="7D4F3C21">
            <w:pPr>
              <w:widowControl/>
              <w:spacing w:line="360" w:lineRule="exact"/>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ascii="仿宋_GB2312" w:hAnsi="仿宋_GB2312" w:eastAsia="仿宋_GB2312" w:cs="仿宋_GB2312"/>
                <w:highlight w:val="none"/>
              </w:rPr>
              <w:t>售后服务方案</w:t>
            </w:r>
          </w:p>
        </w:tc>
        <w:tc>
          <w:tcPr>
            <w:tcW w:w="652" w:type="dxa"/>
            <w:shd w:val="clear" w:color="auto" w:fill="FFFFFF" w:themeFill="background1"/>
            <w:noWrap/>
            <w:vAlign w:val="center"/>
          </w:tcPr>
          <w:p w14:paraId="7F5518A1">
            <w:pPr>
              <w:widowControl/>
              <w:spacing w:line="360" w:lineRule="exact"/>
              <w:jc w:val="cente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w:t>
            </w:r>
          </w:p>
        </w:tc>
        <w:tc>
          <w:tcPr>
            <w:tcW w:w="5660" w:type="dxa"/>
            <w:gridSpan w:val="2"/>
            <w:shd w:val="clear" w:color="auto" w:fill="FFFFFF" w:themeFill="background1"/>
            <w:noWrap/>
            <w:vAlign w:val="center"/>
          </w:tcPr>
          <w:p w14:paraId="64136DBB">
            <w:pPr>
              <w:pStyle w:val="12"/>
              <w:rPr>
                <w:rFonts w:hint="eastAsia" w:ascii="仿宋" w:hAnsi="仿宋" w:eastAsia="仿宋" w:cs="宋体"/>
                <w:color w:val="000000" w:themeColor="text1"/>
                <w:kern w:val="0"/>
                <w:highlight w:val="none"/>
                <w:lang w:val="en-US" w:eastAsia="zh-CN"/>
                <w14:textFill>
                  <w14:solidFill>
                    <w14:schemeClr w14:val="tx1"/>
                  </w14:solidFill>
                </w14:textFill>
              </w:rPr>
            </w:pPr>
            <w:r>
              <w:rPr>
                <w:rFonts w:hint="eastAsia" w:ascii="仿宋" w:hAnsi="仿宋" w:eastAsia="仿宋" w:cs="宋体"/>
                <w:color w:val="000000" w:themeColor="text1"/>
                <w:kern w:val="0"/>
                <w:highlight w:val="none"/>
                <w14:textFill>
                  <w14:solidFill>
                    <w14:schemeClr w14:val="tx1"/>
                  </w14:solidFill>
                </w14:textFill>
              </w:rPr>
              <w:t>根据</w:t>
            </w:r>
            <w:r>
              <w:rPr>
                <w:rFonts w:hint="eastAsia" w:ascii="仿宋" w:hAnsi="仿宋" w:eastAsia="仿宋" w:cs="宋体"/>
                <w:color w:val="000000" w:themeColor="text1"/>
                <w:kern w:val="0"/>
                <w:highlight w:val="none"/>
                <w:lang w:val="en-US" w:eastAsia="zh-CN"/>
                <w14:textFill>
                  <w14:solidFill>
                    <w14:schemeClr w14:val="tx1"/>
                  </w14:solidFill>
                </w14:textFill>
              </w:rPr>
              <w:t>供应商</w:t>
            </w:r>
            <w:r>
              <w:rPr>
                <w:rFonts w:hint="eastAsia" w:ascii="仿宋" w:hAnsi="仿宋" w:eastAsia="仿宋" w:cs="宋体"/>
                <w:color w:val="000000" w:themeColor="text1"/>
                <w:kern w:val="0"/>
                <w:highlight w:val="none"/>
                <w14:textFill>
                  <w14:solidFill>
                    <w14:schemeClr w14:val="tx1"/>
                  </w14:solidFill>
                </w14:textFill>
              </w:rPr>
              <w:t>为本项目提供的售后服务方案，包括但不限于①售后服务承诺、②维护响应计划方案、③故障响应时间、④响应方式、⑤服务人员配置情况</w:t>
            </w:r>
            <w:r>
              <w:rPr>
                <w:rFonts w:hint="eastAsia" w:ascii="仿宋" w:hAnsi="仿宋" w:eastAsia="仿宋" w:cs="宋体"/>
                <w:color w:val="000000" w:themeColor="text1"/>
                <w:kern w:val="0"/>
                <w:highlight w:val="none"/>
                <w:lang w:eastAsia="zh-CN"/>
                <w14:textFill>
                  <w14:solidFill>
                    <w14:schemeClr w14:val="tx1"/>
                  </w14:solidFill>
                </w14:textFill>
              </w:rPr>
              <w:t>，</w:t>
            </w:r>
            <w:r>
              <w:rPr>
                <w:rFonts w:hint="eastAsia" w:ascii="仿宋" w:hAnsi="仿宋" w:eastAsia="仿宋" w:cs="宋体"/>
                <w:color w:val="000000" w:themeColor="text1"/>
                <w:kern w:val="0"/>
                <w:highlight w:val="none"/>
                <w14:textFill>
                  <w14:solidFill>
                    <w14:schemeClr w14:val="tx1"/>
                  </w14:solidFill>
                </w14:textFill>
              </w:rPr>
              <w:t>由评委进行评分，每缺少一项以上内容扣</w:t>
            </w:r>
            <w:r>
              <w:rPr>
                <w:rFonts w:hint="eastAsia" w:ascii="仿宋" w:hAnsi="仿宋" w:eastAsia="仿宋" w:cs="宋体"/>
                <w:color w:val="000000" w:themeColor="text1"/>
                <w:kern w:val="0"/>
                <w:highlight w:val="none"/>
                <w:lang w:val="en-US" w:eastAsia="zh-CN"/>
                <w14:textFill>
                  <w14:solidFill>
                    <w14:schemeClr w14:val="tx1"/>
                  </w14:solidFill>
                </w14:textFill>
              </w:rPr>
              <w:t>2</w:t>
            </w:r>
            <w:r>
              <w:rPr>
                <w:rFonts w:hint="eastAsia" w:ascii="仿宋" w:hAnsi="仿宋" w:eastAsia="仿宋" w:cs="宋体"/>
                <w:color w:val="000000" w:themeColor="text1"/>
                <w:kern w:val="0"/>
                <w:highlight w:val="none"/>
                <w14:textFill>
                  <w14:solidFill>
                    <w14:schemeClr w14:val="tx1"/>
                  </w14:solidFill>
                </w14:textFill>
              </w:rPr>
              <w:t>分，内容不合理或不完善的每处扣</w:t>
            </w:r>
            <w:r>
              <w:rPr>
                <w:rFonts w:hint="eastAsia" w:ascii="仿宋" w:hAnsi="仿宋" w:eastAsia="仿宋" w:cs="宋体"/>
                <w:color w:val="000000" w:themeColor="text1"/>
                <w:kern w:val="0"/>
                <w:highlight w:val="none"/>
                <w:lang w:val="en-US" w:eastAsia="zh-CN"/>
                <w14:textFill>
                  <w14:solidFill>
                    <w14:schemeClr w14:val="tx1"/>
                  </w14:solidFill>
                </w14:textFill>
              </w:rPr>
              <w:t>1</w:t>
            </w:r>
            <w:r>
              <w:rPr>
                <w:rFonts w:hint="eastAsia" w:ascii="仿宋" w:hAnsi="仿宋" w:eastAsia="仿宋" w:cs="宋体"/>
                <w:color w:val="000000" w:themeColor="text1"/>
                <w:kern w:val="0"/>
                <w:highlight w:val="none"/>
                <w14:textFill>
                  <w14:solidFill>
                    <w14:schemeClr w14:val="tx1"/>
                  </w14:solidFill>
                </w14:textFill>
              </w:rPr>
              <w:t>分，扣完为止，未提供不计分。</w:t>
            </w:r>
          </w:p>
          <w:p w14:paraId="5C366B85">
            <w:pPr>
              <w:pStyle w:val="12"/>
              <w:rPr>
                <w:rFonts w:hint="eastAsia" w:ascii="仿宋" w:hAnsi="仿宋" w:eastAsia="仿宋_GB2312" w:cs="宋体"/>
                <w:b/>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宋体"/>
                <w:b w:val="0"/>
                <w:bCs w:val="0"/>
                <w:color w:val="000000" w:themeColor="text1"/>
                <w:kern w:val="0"/>
                <w:highlight w:val="none"/>
                <w14:textFill>
                  <w14:solidFill>
                    <w14:schemeClr w14:val="tx1"/>
                  </w14:solidFill>
                </w14:textFill>
              </w:rPr>
              <w:t>注：内容不合理或不完善是指：非专门针对本项目或不适用项目特性的情形、内容不完整或缺少关键节点、套用其他项目方案，内容前后矛盾，规范及标准错误，不利于项目实施，不可能实现的情形等任意一种情形。</w:t>
            </w:r>
          </w:p>
        </w:tc>
        <w:tc>
          <w:tcPr>
            <w:tcW w:w="593" w:type="dxa"/>
            <w:noWrap/>
            <w:vAlign w:val="center"/>
          </w:tcPr>
          <w:p w14:paraId="20AE64E2">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r w14:paraId="714B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29" w:hRule="atLeast"/>
          <w:jc w:val="center"/>
        </w:trPr>
        <w:tc>
          <w:tcPr>
            <w:tcW w:w="1895" w:type="dxa"/>
            <w:noWrap/>
            <w:vAlign w:val="center"/>
          </w:tcPr>
          <w:p w14:paraId="12B84197">
            <w:pPr>
              <w:widowControl/>
              <w:spacing w:line="36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应对突发事件能力</w:t>
            </w:r>
          </w:p>
        </w:tc>
        <w:tc>
          <w:tcPr>
            <w:tcW w:w="652" w:type="dxa"/>
            <w:shd w:val="clear" w:color="auto" w:fill="FFFFFF" w:themeFill="background1"/>
            <w:noWrap/>
            <w:vAlign w:val="center"/>
          </w:tcPr>
          <w:p w14:paraId="41B8F12E">
            <w:pPr>
              <w:widowControl/>
              <w:spacing w:line="24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5660" w:type="dxa"/>
            <w:gridSpan w:val="2"/>
            <w:shd w:val="clear" w:color="auto" w:fill="FFFFFF" w:themeFill="background1"/>
            <w:noWrap/>
            <w:vAlign w:val="center"/>
          </w:tcPr>
          <w:p w14:paraId="0C2E65E6">
            <w:pPr>
              <w:widowControl/>
              <w:spacing w:line="240" w:lineRule="auto"/>
              <w:jc w:val="left"/>
              <w:rPr>
                <w:rFonts w:hint="eastAsia" w:ascii="仿宋" w:hAnsi="仿宋" w:eastAsia="仿宋" w:cs="宋体"/>
                <w:color w:val="000000" w:themeColor="text1"/>
                <w:kern w:val="0"/>
                <w:szCs w:val="20"/>
                <w:highlight w:val="none"/>
                <w:lang w:val="en-US" w:eastAsia="zh-CN"/>
                <w14:textFill>
                  <w14:solidFill>
                    <w14:schemeClr w14:val="tx1"/>
                  </w14:solidFill>
                </w14:textFill>
              </w:rPr>
            </w:pPr>
            <w:r>
              <w:rPr>
                <w:rFonts w:hint="eastAsia" w:ascii="仿宋" w:hAnsi="仿宋" w:eastAsia="仿宋" w:cs="宋体"/>
                <w:color w:val="000000" w:themeColor="text1"/>
                <w:kern w:val="0"/>
                <w:szCs w:val="20"/>
                <w:highlight w:val="none"/>
                <w:lang w:val="en-US" w:eastAsia="zh-CN"/>
                <w14:textFill>
                  <w14:solidFill>
                    <w14:schemeClr w14:val="tx1"/>
                  </w14:solidFill>
                </w14:textFill>
              </w:rPr>
              <w:t>根据</w:t>
            </w:r>
            <w:r>
              <w:rPr>
                <w:rFonts w:hint="eastAsia" w:ascii="仿宋" w:hAnsi="仿宋" w:eastAsia="仿宋" w:cs="宋体"/>
                <w:color w:val="000000" w:themeColor="text1"/>
                <w:kern w:val="0"/>
                <w:szCs w:val="20"/>
                <w:highlight w:val="none"/>
                <w14:textFill>
                  <w14:solidFill>
                    <w14:schemeClr w14:val="tx1"/>
                  </w14:solidFill>
                </w14:textFill>
              </w:rPr>
              <w:t>供应商提供针对本项目提供的应急处置方案，包括但不限于①如遇紧急突发公共卫生事件、②自然灾害等情况制定完善的应急预案；由评委进行评分，每缺少一项以上内容扣</w:t>
            </w:r>
            <w:r>
              <w:rPr>
                <w:rFonts w:hint="eastAsia" w:ascii="仿宋" w:hAnsi="仿宋" w:eastAsia="仿宋" w:cs="宋体"/>
                <w:color w:val="000000" w:themeColor="text1"/>
                <w:kern w:val="0"/>
                <w:szCs w:val="20"/>
                <w:highlight w:val="none"/>
                <w:lang w:val="en-US" w:eastAsia="zh-CN"/>
                <w14:textFill>
                  <w14:solidFill>
                    <w14:schemeClr w14:val="tx1"/>
                  </w14:solidFill>
                </w14:textFill>
              </w:rPr>
              <w:t>3</w:t>
            </w:r>
            <w:r>
              <w:rPr>
                <w:rFonts w:hint="eastAsia" w:ascii="仿宋" w:hAnsi="仿宋" w:eastAsia="仿宋" w:cs="宋体"/>
                <w:color w:val="000000" w:themeColor="text1"/>
                <w:kern w:val="0"/>
                <w:szCs w:val="20"/>
                <w:highlight w:val="none"/>
                <w14:textFill>
                  <w14:solidFill>
                    <w14:schemeClr w14:val="tx1"/>
                  </w14:solidFill>
                </w14:textFill>
              </w:rPr>
              <w:t>分，内容不合理或不完善的每处扣</w:t>
            </w:r>
            <w:r>
              <w:rPr>
                <w:rFonts w:hint="eastAsia" w:ascii="仿宋" w:hAnsi="仿宋" w:eastAsia="仿宋" w:cs="宋体"/>
                <w:color w:val="000000" w:themeColor="text1"/>
                <w:kern w:val="0"/>
                <w:szCs w:val="20"/>
                <w:highlight w:val="none"/>
                <w:lang w:val="en-US" w:eastAsia="zh-CN"/>
                <w14:textFill>
                  <w14:solidFill>
                    <w14:schemeClr w14:val="tx1"/>
                  </w14:solidFill>
                </w14:textFill>
              </w:rPr>
              <w:t>1.5</w:t>
            </w:r>
            <w:r>
              <w:rPr>
                <w:rFonts w:hint="eastAsia" w:ascii="仿宋" w:hAnsi="仿宋" w:eastAsia="仿宋" w:cs="宋体"/>
                <w:color w:val="000000" w:themeColor="text1"/>
                <w:kern w:val="0"/>
                <w:szCs w:val="20"/>
                <w:highlight w:val="none"/>
                <w14:textFill>
                  <w14:solidFill>
                    <w14:schemeClr w14:val="tx1"/>
                  </w14:solidFill>
                </w14:textFill>
              </w:rPr>
              <w:t>分，扣完为止，未提供不计分。</w:t>
            </w:r>
          </w:p>
          <w:p w14:paraId="5513F5D4">
            <w:pPr>
              <w:pStyle w:val="25"/>
              <w:rPr>
                <w:color w:val="000000" w:themeColor="text1"/>
                <w:highlight w:val="none"/>
                <w14:textFill>
                  <w14:solidFill>
                    <w14:schemeClr w14:val="tx1"/>
                  </w14:solidFill>
                </w14:textFill>
              </w:rPr>
            </w:pPr>
            <w:r>
              <w:rPr>
                <w:rFonts w:hint="eastAsia" w:ascii="仿宋" w:hAnsi="仿宋" w:eastAsia="仿宋" w:cs="宋体"/>
                <w:b w:val="0"/>
                <w:bCs w:val="0"/>
                <w:color w:val="000000" w:themeColor="text1"/>
                <w:kern w:val="0"/>
                <w:szCs w:val="20"/>
                <w:highlight w:val="none"/>
                <w14:textFill>
                  <w14:solidFill>
                    <w14:schemeClr w14:val="tx1"/>
                  </w14:solidFill>
                </w14:textFill>
              </w:rPr>
              <w:t>注：内容不合理或不完善是指：非专门针对本项目或不适用项目特性的情形、内容不完整或缺少关键节点、套用其他项目方案，内容前后矛盾，规范及标准错误，不利于项目实施，不可能实现的情形等任意一种情形。</w:t>
            </w:r>
          </w:p>
        </w:tc>
        <w:tc>
          <w:tcPr>
            <w:tcW w:w="593" w:type="dxa"/>
            <w:noWrap/>
            <w:vAlign w:val="center"/>
          </w:tcPr>
          <w:p w14:paraId="79CAB9ED">
            <w:pPr>
              <w:adjustRightInd w:val="0"/>
              <w:snapToGrid w:val="0"/>
              <w:spacing w:line="360" w:lineRule="exact"/>
              <w:jc w:val="center"/>
              <w:rPr>
                <w:rFonts w:hint="eastAsia" w:ascii="仿宋" w:hAnsi="仿宋" w:eastAsia="仿宋" w:cs="仿宋"/>
                <w:color w:val="000000" w:themeColor="text1"/>
                <w:highlight w:val="none"/>
                <w14:textFill>
                  <w14:solidFill>
                    <w14:schemeClr w14:val="tx1"/>
                  </w14:solidFill>
                </w14:textFill>
              </w:rPr>
            </w:pPr>
          </w:p>
        </w:tc>
      </w:tr>
    </w:tbl>
    <w:p w14:paraId="22989D3B">
      <w:pPr>
        <w:keepNext/>
        <w:keepLines/>
        <w:jc w:val="center"/>
        <w:outlineLvl w:val="1"/>
        <w:rPr>
          <w:rFonts w:ascii="Cambria" w:hAnsi="Cambria"/>
          <w:b/>
          <w:bCs/>
          <w:color w:val="000000" w:themeColor="text1"/>
          <w:sz w:val="40"/>
          <w:szCs w:val="40"/>
          <w:highlight w:val="none"/>
          <w14:textFill>
            <w14:solidFill>
              <w14:schemeClr w14:val="tx1"/>
            </w14:solidFill>
          </w14:textFill>
        </w:rPr>
      </w:pPr>
      <w:bookmarkStart w:id="84" w:name="_Toc24916"/>
      <w:bookmarkStart w:id="85" w:name="_Toc28232"/>
      <w:bookmarkStart w:id="86" w:name="_Toc16481"/>
      <w:bookmarkStart w:id="87" w:name="_Toc10256"/>
      <w:bookmarkStart w:id="88" w:name="_Toc20382"/>
      <w:bookmarkStart w:id="89" w:name="_Toc12339"/>
      <w:bookmarkStart w:id="90" w:name="_Toc20098"/>
      <w:r>
        <w:rPr>
          <w:rFonts w:hint="eastAsia" w:ascii="Cambria" w:hAnsi="Cambria"/>
          <w:b/>
          <w:bCs/>
          <w:color w:val="000000" w:themeColor="text1"/>
          <w:sz w:val="40"/>
          <w:szCs w:val="40"/>
          <w:highlight w:val="none"/>
          <w14:textFill>
            <w14:solidFill>
              <w14:schemeClr w14:val="tx1"/>
            </w14:solidFill>
          </w14:textFill>
        </w:rPr>
        <w:t>第</w:t>
      </w:r>
      <w:r>
        <w:rPr>
          <w:rFonts w:hint="eastAsia" w:ascii="Cambria" w:hAnsi="Cambria"/>
          <w:b/>
          <w:bCs/>
          <w:color w:val="000000" w:themeColor="text1"/>
          <w:sz w:val="40"/>
          <w:szCs w:val="40"/>
          <w:highlight w:val="none"/>
          <w:lang w:val="en-US" w:eastAsia="zh-CN"/>
          <w14:textFill>
            <w14:solidFill>
              <w14:schemeClr w14:val="tx1"/>
            </w14:solidFill>
          </w14:textFill>
        </w:rPr>
        <w:t>五</w:t>
      </w:r>
      <w:r>
        <w:rPr>
          <w:rFonts w:hint="eastAsia" w:ascii="Cambria" w:hAnsi="Cambria"/>
          <w:b/>
          <w:bCs/>
          <w:color w:val="000000" w:themeColor="text1"/>
          <w:sz w:val="40"/>
          <w:szCs w:val="40"/>
          <w:highlight w:val="none"/>
          <w14:textFill>
            <w14:solidFill>
              <w14:schemeClr w14:val="tx1"/>
            </w14:solidFill>
          </w14:textFill>
        </w:rPr>
        <w:t>章采购合同</w:t>
      </w:r>
      <w:bookmarkEnd w:id="84"/>
      <w:bookmarkEnd w:id="85"/>
      <w:bookmarkEnd w:id="86"/>
      <w:bookmarkEnd w:id="87"/>
      <w:bookmarkEnd w:id="88"/>
      <w:bookmarkEnd w:id="89"/>
      <w:bookmarkEnd w:id="90"/>
    </w:p>
    <w:p w14:paraId="53D4A332">
      <w:pPr>
        <w:jc w:val="center"/>
        <w:rPr>
          <w:rFonts w:hint="default" w:ascii="Cambria" w:hAnsi="Cambria"/>
          <w:b/>
          <w:bCs/>
          <w:color w:val="000000" w:themeColor="text1"/>
          <w:sz w:val="24"/>
          <w:szCs w:val="24"/>
          <w:highlight w:val="none"/>
          <w:lang w:val="en-US"/>
          <w14:textFill>
            <w14:solidFill>
              <w14:schemeClr w14:val="tx1"/>
            </w14:solidFill>
          </w14:textFill>
        </w:rPr>
      </w:pPr>
      <w:r>
        <w:rPr>
          <w:rFonts w:hint="eastAsia" w:ascii="Cambria" w:hAnsi="Cambria"/>
          <w:b/>
          <w:bCs/>
          <w:color w:val="000000" w:themeColor="text1"/>
          <w:sz w:val="24"/>
          <w:szCs w:val="24"/>
          <w:highlight w:val="none"/>
          <w14:textFill>
            <w14:solidFill>
              <w14:schemeClr w14:val="tx1"/>
            </w14:solidFill>
          </w14:textFill>
        </w:rPr>
        <w:t>（具体以签订为准）</w:t>
      </w:r>
      <w:r>
        <w:rPr>
          <w:highlight w:val="none"/>
        </w:rPr>
        <w:br w:type="textWrapping"/>
      </w:r>
      <w:r>
        <w:rPr>
          <w:highlight w:val="none"/>
        </w:rPr>
        <w:br w:type="textWrapping"/>
      </w:r>
      <w:r>
        <w:rPr>
          <w:rStyle w:val="49"/>
          <w:rFonts w:hint="eastAsia" w:ascii="仿宋" w:hAnsi="仿宋" w:eastAsia="仿宋" w:cs="仿宋"/>
          <w:color w:val="000000" w:themeColor="text1"/>
          <w:kern w:val="0"/>
          <w:sz w:val="32"/>
          <w:szCs w:val="32"/>
          <w:highlight w:val="none"/>
          <w:lang w:eastAsia="zh-CN"/>
          <w14:textFill>
            <w14:solidFill>
              <w14:schemeClr w14:val="tx1"/>
            </w14:solidFill>
          </w14:textFill>
        </w:rPr>
        <w:t>浏阳市人民医院2025年新增试剂配送服务（第二批）入围遴选项目</w:t>
      </w:r>
      <w:r>
        <w:rPr>
          <w:rStyle w:val="49"/>
          <w:rFonts w:hint="eastAsia" w:ascii="仿宋" w:hAnsi="仿宋" w:eastAsia="仿宋" w:cs="仿宋"/>
          <w:color w:val="000000" w:themeColor="text1"/>
          <w:kern w:val="0"/>
          <w:sz w:val="32"/>
          <w:szCs w:val="32"/>
          <w:highlight w:val="none"/>
          <w:lang w:val="en-US" w:eastAsia="zh-CN"/>
          <w14:textFill>
            <w14:solidFill>
              <w14:schemeClr w14:val="tx1"/>
            </w14:solidFill>
          </w14:textFill>
        </w:rPr>
        <w:t>合同</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br w:type="textWrapping"/>
      </w:r>
    </w:p>
    <w:tbl>
      <w:tblPr>
        <w:tblStyle w:val="36"/>
        <w:tblW w:w="5000" w:type="pct"/>
        <w:tblInd w:w="-216" w:type="dxa"/>
        <w:tblLayout w:type="autofit"/>
        <w:tblCellMar>
          <w:top w:w="0" w:type="dxa"/>
          <w:left w:w="108" w:type="dxa"/>
          <w:bottom w:w="0" w:type="dxa"/>
          <w:right w:w="108" w:type="dxa"/>
        </w:tblCellMar>
      </w:tblPr>
      <w:tblGrid>
        <w:gridCol w:w="1844"/>
        <w:gridCol w:w="2708"/>
        <w:gridCol w:w="1986"/>
        <w:gridCol w:w="1990"/>
      </w:tblGrid>
      <w:tr w14:paraId="4A540D0B">
        <w:tblPrEx>
          <w:tblCellMar>
            <w:top w:w="0" w:type="dxa"/>
            <w:left w:w="108" w:type="dxa"/>
            <w:bottom w:w="0" w:type="dxa"/>
            <w:right w:w="108" w:type="dxa"/>
          </w:tblCellMar>
        </w:tblPrEx>
        <w:tc>
          <w:tcPr>
            <w:tcW w:w="1081" w:type="pct"/>
            <w:noWrap w:val="0"/>
            <w:vAlign w:val="center"/>
          </w:tcPr>
          <w:p w14:paraId="3461C3E6">
            <w:pPr>
              <w:spacing w:line="360" w:lineRule="auto"/>
              <w:rPr>
                <w:color w:val="000000"/>
                <w:highlight w:val="none"/>
              </w:rPr>
            </w:pPr>
            <w:r>
              <w:rPr>
                <w:rFonts w:hint="eastAsia"/>
                <w:color w:val="000000"/>
                <w:highlight w:val="none"/>
              </w:rPr>
              <w:t>甲方（购方）：</w:t>
            </w:r>
          </w:p>
        </w:tc>
        <w:tc>
          <w:tcPr>
            <w:tcW w:w="1587" w:type="pct"/>
            <w:noWrap w:val="0"/>
            <w:vAlign w:val="center"/>
          </w:tcPr>
          <w:p w14:paraId="2C79CC3A">
            <w:pPr>
              <w:spacing w:line="360" w:lineRule="auto"/>
              <w:rPr>
                <w:color w:val="000000"/>
                <w:highlight w:val="none"/>
              </w:rPr>
            </w:pPr>
            <w:r>
              <w:rPr>
                <w:rFonts w:hint="eastAsia"/>
                <w:color w:val="000000"/>
                <w:highlight w:val="none"/>
              </w:rPr>
              <w:t>浏阳市人民医院</w:t>
            </w:r>
          </w:p>
        </w:tc>
        <w:tc>
          <w:tcPr>
            <w:tcW w:w="1164" w:type="pct"/>
            <w:noWrap w:val="0"/>
            <w:vAlign w:val="center"/>
          </w:tcPr>
          <w:p w14:paraId="4ED72B77">
            <w:pPr>
              <w:spacing w:line="360" w:lineRule="auto"/>
              <w:rPr>
                <w:color w:val="000000"/>
                <w:highlight w:val="none"/>
              </w:rPr>
            </w:pPr>
            <w:r>
              <w:rPr>
                <w:rFonts w:hint="eastAsia"/>
                <w:color w:val="000000"/>
                <w:highlight w:val="none"/>
              </w:rPr>
              <w:t>乙方（供方）:</w:t>
            </w:r>
          </w:p>
        </w:tc>
        <w:tc>
          <w:tcPr>
            <w:tcW w:w="1166" w:type="pct"/>
            <w:noWrap w:val="0"/>
            <w:vAlign w:val="center"/>
          </w:tcPr>
          <w:p w14:paraId="35B3DE1F">
            <w:pPr>
              <w:spacing w:line="360" w:lineRule="auto"/>
              <w:rPr>
                <w:color w:val="000000"/>
                <w:highlight w:val="none"/>
              </w:rPr>
            </w:pPr>
          </w:p>
        </w:tc>
      </w:tr>
      <w:tr w14:paraId="32DD289B">
        <w:tblPrEx>
          <w:tblCellMar>
            <w:top w:w="0" w:type="dxa"/>
            <w:left w:w="108" w:type="dxa"/>
            <w:bottom w:w="0" w:type="dxa"/>
            <w:right w:w="108" w:type="dxa"/>
          </w:tblCellMar>
        </w:tblPrEx>
        <w:tc>
          <w:tcPr>
            <w:tcW w:w="1081" w:type="pct"/>
            <w:noWrap w:val="0"/>
            <w:vAlign w:val="center"/>
          </w:tcPr>
          <w:p w14:paraId="21F84338">
            <w:pPr>
              <w:spacing w:line="360" w:lineRule="auto"/>
              <w:rPr>
                <w:color w:val="000000"/>
                <w:highlight w:val="none"/>
              </w:rPr>
            </w:pPr>
            <w:r>
              <w:rPr>
                <w:rFonts w:hint="eastAsia"/>
                <w:color w:val="000000"/>
                <w:highlight w:val="none"/>
              </w:rPr>
              <w:t>地址：</w:t>
            </w:r>
          </w:p>
        </w:tc>
        <w:tc>
          <w:tcPr>
            <w:tcW w:w="1587" w:type="pct"/>
            <w:noWrap w:val="0"/>
            <w:vAlign w:val="center"/>
          </w:tcPr>
          <w:p w14:paraId="22503F17">
            <w:pPr>
              <w:spacing w:line="360" w:lineRule="auto"/>
              <w:rPr>
                <w:color w:val="000000"/>
                <w:highlight w:val="none"/>
              </w:rPr>
            </w:pPr>
            <w:r>
              <w:rPr>
                <w:rFonts w:hint="eastAsia"/>
                <w:color w:val="000000"/>
                <w:highlight w:val="none"/>
              </w:rPr>
              <w:t>浏阳市道吾山西路</w:t>
            </w:r>
            <w:r>
              <w:rPr>
                <w:color w:val="000000"/>
                <w:highlight w:val="none"/>
              </w:rPr>
              <w:t>452</w:t>
            </w:r>
            <w:r>
              <w:rPr>
                <w:rFonts w:hint="eastAsia"/>
                <w:color w:val="000000"/>
                <w:highlight w:val="none"/>
              </w:rPr>
              <w:t>号</w:t>
            </w:r>
          </w:p>
        </w:tc>
        <w:tc>
          <w:tcPr>
            <w:tcW w:w="1164" w:type="pct"/>
            <w:noWrap w:val="0"/>
            <w:vAlign w:val="center"/>
          </w:tcPr>
          <w:p w14:paraId="6C8D76A2">
            <w:pPr>
              <w:spacing w:line="360" w:lineRule="auto"/>
              <w:rPr>
                <w:color w:val="000000"/>
                <w:highlight w:val="none"/>
              </w:rPr>
            </w:pPr>
            <w:r>
              <w:rPr>
                <w:rFonts w:hint="eastAsia"/>
                <w:color w:val="000000"/>
                <w:highlight w:val="none"/>
              </w:rPr>
              <w:t>地址：</w:t>
            </w:r>
          </w:p>
        </w:tc>
        <w:tc>
          <w:tcPr>
            <w:tcW w:w="1166" w:type="pct"/>
            <w:noWrap w:val="0"/>
            <w:vAlign w:val="center"/>
          </w:tcPr>
          <w:p w14:paraId="00A396AC">
            <w:pPr>
              <w:spacing w:line="360" w:lineRule="auto"/>
              <w:rPr>
                <w:color w:val="000000"/>
                <w:highlight w:val="none"/>
              </w:rPr>
            </w:pPr>
          </w:p>
        </w:tc>
      </w:tr>
      <w:tr w14:paraId="6F4DD873">
        <w:tblPrEx>
          <w:tblCellMar>
            <w:top w:w="0" w:type="dxa"/>
            <w:left w:w="108" w:type="dxa"/>
            <w:bottom w:w="0" w:type="dxa"/>
            <w:right w:w="108" w:type="dxa"/>
          </w:tblCellMar>
        </w:tblPrEx>
        <w:tc>
          <w:tcPr>
            <w:tcW w:w="1081" w:type="pct"/>
            <w:noWrap w:val="0"/>
            <w:vAlign w:val="center"/>
          </w:tcPr>
          <w:p w14:paraId="591DF5A8">
            <w:pPr>
              <w:spacing w:line="360" w:lineRule="auto"/>
              <w:rPr>
                <w:color w:val="000000"/>
                <w:highlight w:val="none"/>
              </w:rPr>
            </w:pPr>
            <w:r>
              <w:rPr>
                <w:rFonts w:hint="eastAsia"/>
                <w:color w:val="000000"/>
                <w:highlight w:val="none"/>
              </w:rPr>
              <w:t>邮政编码：</w:t>
            </w:r>
          </w:p>
        </w:tc>
        <w:tc>
          <w:tcPr>
            <w:tcW w:w="1587" w:type="pct"/>
            <w:noWrap w:val="0"/>
            <w:vAlign w:val="center"/>
          </w:tcPr>
          <w:p w14:paraId="274784B3">
            <w:pPr>
              <w:spacing w:line="360" w:lineRule="auto"/>
              <w:rPr>
                <w:color w:val="000000"/>
                <w:highlight w:val="none"/>
              </w:rPr>
            </w:pPr>
            <w:r>
              <w:rPr>
                <w:color w:val="000000"/>
                <w:highlight w:val="none"/>
              </w:rPr>
              <w:t>410000</w:t>
            </w:r>
          </w:p>
        </w:tc>
        <w:tc>
          <w:tcPr>
            <w:tcW w:w="1164" w:type="pct"/>
            <w:noWrap w:val="0"/>
            <w:vAlign w:val="center"/>
          </w:tcPr>
          <w:p w14:paraId="1E05A05F">
            <w:pPr>
              <w:spacing w:line="360" w:lineRule="auto"/>
              <w:rPr>
                <w:color w:val="000000"/>
                <w:highlight w:val="none"/>
              </w:rPr>
            </w:pPr>
            <w:r>
              <w:rPr>
                <w:rFonts w:hint="eastAsia"/>
                <w:color w:val="000000"/>
                <w:highlight w:val="none"/>
              </w:rPr>
              <w:t>邮政编码：</w:t>
            </w:r>
          </w:p>
        </w:tc>
        <w:tc>
          <w:tcPr>
            <w:tcW w:w="1166" w:type="pct"/>
            <w:noWrap w:val="0"/>
            <w:vAlign w:val="center"/>
          </w:tcPr>
          <w:p w14:paraId="00794106">
            <w:pPr>
              <w:spacing w:line="360" w:lineRule="auto"/>
              <w:rPr>
                <w:color w:val="000000"/>
                <w:highlight w:val="none"/>
              </w:rPr>
            </w:pPr>
          </w:p>
        </w:tc>
      </w:tr>
      <w:tr w14:paraId="182217B4">
        <w:tblPrEx>
          <w:tblCellMar>
            <w:top w:w="0" w:type="dxa"/>
            <w:left w:w="108" w:type="dxa"/>
            <w:bottom w:w="0" w:type="dxa"/>
            <w:right w:w="108" w:type="dxa"/>
          </w:tblCellMar>
        </w:tblPrEx>
        <w:tc>
          <w:tcPr>
            <w:tcW w:w="1081" w:type="pct"/>
            <w:noWrap w:val="0"/>
            <w:vAlign w:val="center"/>
          </w:tcPr>
          <w:p w14:paraId="0720F193">
            <w:pPr>
              <w:spacing w:line="360" w:lineRule="auto"/>
              <w:rPr>
                <w:color w:val="000000"/>
                <w:highlight w:val="none"/>
              </w:rPr>
            </w:pPr>
            <w:r>
              <w:rPr>
                <w:rFonts w:hint="eastAsia"/>
                <w:color w:val="000000"/>
                <w:highlight w:val="none"/>
              </w:rPr>
              <w:t>法定代表人：</w:t>
            </w:r>
          </w:p>
        </w:tc>
        <w:tc>
          <w:tcPr>
            <w:tcW w:w="1587" w:type="pct"/>
            <w:noWrap w:val="0"/>
            <w:vAlign w:val="center"/>
          </w:tcPr>
          <w:p w14:paraId="58C0066D">
            <w:pPr>
              <w:spacing w:line="360" w:lineRule="auto"/>
              <w:rPr>
                <w:color w:val="000000"/>
                <w:highlight w:val="none"/>
              </w:rPr>
            </w:pPr>
            <w:r>
              <w:rPr>
                <w:rFonts w:hint="eastAsia"/>
                <w:color w:val="000000"/>
                <w:highlight w:val="none"/>
              </w:rPr>
              <w:t>周明亮</w:t>
            </w:r>
          </w:p>
        </w:tc>
        <w:tc>
          <w:tcPr>
            <w:tcW w:w="1164" w:type="pct"/>
            <w:noWrap w:val="0"/>
            <w:vAlign w:val="center"/>
          </w:tcPr>
          <w:p w14:paraId="70E36682">
            <w:pPr>
              <w:spacing w:line="360" w:lineRule="auto"/>
              <w:rPr>
                <w:color w:val="000000"/>
                <w:highlight w:val="none"/>
              </w:rPr>
            </w:pPr>
            <w:r>
              <w:rPr>
                <w:rFonts w:hint="eastAsia"/>
                <w:color w:val="000000"/>
                <w:highlight w:val="none"/>
              </w:rPr>
              <w:t>法定代表人：</w:t>
            </w:r>
          </w:p>
        </w:tc>
        <w:tc>
          <w:tcPr>
            <w:tcW w:w="1166" w:type="pct"/>
            <w:noWrap w:val="0"/>
            <w:vAlign w:val="center"/>
          </w:tcPr>
          <w:p w14:paraId="7C8449BF">
            <w:pPr>
              <w:spacing w:line="360" w:lineRule="auto"/>
              <w:rPr>
                <w:color w:val="000000"/>
                <w:highlight w:val="none"/>
              </w:rPr>
            </w:pPr>
          </w:p>
        </w:tc>
      </w:tr>
      <w:tr w14:paraId="67220B33">
        <w:tblPrEx>
          <w:tblCellMar>
            <w:top w:w="0" w:type="dxa"/>
            <w:left w:w="108" w:type="dxa"/>
            <w:bottom w:w="0" w:type="dxa"/>
            <w:right w:w="108" w:type="dxa"/>
          </w:tblCellMar>
        </w:tblPrEx>
        <w:tc>
          <w:tcPr>
            <w:tcW w:w="1081" w:type="pct"/>
            <w:noWrap w:val="0"/>
            <w:vAlign w:val="center"/>
          </w:tcPr>
          <w:p w14:paraId="692FFBFF">
            <w:pPr>
              <w:spacing w:line="360" w:lineRule="auto"/>
              <w:rPr>
                <w:color w:val="000000"/>
                <w:highlight w:val="none"/>
              </w:rPr>
            </w:pPr>
            <w:r>
              <w:rPr>
                <w:rFonts w:hint="eastAsia"/>
                <w:color w:val="000000"/>
                <w:highlight w:val="none"/>
              </w:rPr>
              <w:t>职务：</w:t>
            </w:r>
          </w:p>
        </w:tc>
        <w:tc>
          <w:tcPr>
            <w:tcW w:w="1587" w:type="pct"/>
            <w:noWrap w:val="0"/>
            <w:vAlign w:val="center"/>
          </w:tcPr>
          <w:p w14:paraId="0BA28BAD">
            <w:pPr>
              <w:spacing w:line="360" w:lineRule="auto"/>
              <w:rPr>
                <w:color w:val="000000"/>
                <w:highlight w:val="none"/>
              </w:rPr>
            </w:pPr>
            <w:r>
              <w:rPr>
                <w:rFonts w:hint="eastAsia"/>
                <w:color w:val="000000"/>
                <w:highlight w:val="none"/>
              </w:rPr>
              <w:t>院长</w:t>
            </w:r>
          </w:p>
        </w:tc>
        <w:tc>
          <w:tcPr>
            <w:tcW w:w="1164" w:type="pct"/>
            <w:noWrap w:val="0"/>
            <w:vAlign w:val="center"/>
          </w:tcPr>
          <w:p w14:paraId="416EC46C">
            <w:pPr>
              <w:spacing w:line="360" w:lineRule="auto"/>
              <w:rPr>
                <w:color w:val="000000"/>
                <w:highlight w:val="none"/>
              </w:rPr>
            </w:pPr>
            <w:r>
              <w:rPr>
                <w:rFonts w:hint="eastAsia"/>
                <w:color w:val="000000"/>
                <w:highlight w:val="none"/>
              </w:rPr>
              <w:t>职务：</w:t>
            </w:r>
          </w:p>
        </w:tc>
        <w:tc>
          <w:tcPr>
            <w:tcW w:w="1166" w:type="pct"/>
            <w:noWrap w:val="0"/>
            <w:vAlign w:val="center"/>
          </w:tcPr>
          <w:p w14:paraId="31222EA0">
            <w:pPr>
              <w:spacing w:line="360" w:lineRule="auto"/>
              <w:rPr>
                <w:color w:val="000000"/>
                <w:highlight w:val="none"/>
              </w:rPr>
            </w:pPr>
          </w:p>
        </w:tc>
      </w:tr>
      <w:tr w14:paraId="74BD28F5">
        <w:tblPrEx>
          <w:tblCellMar>
            <w:top w:w="0" w:type="dxa"/>
            <w:left w:w="108" w:type="dxa"/>
            <w:bottom w:w="0" w:type="dxa"/>
            <w:right w:w="108" w:type="dxa"/>
          </w:tblCellMar>
        </w:tblPrEx>
        <w:tc>
          <w:tcPr>
            <w:tcW w:w="1081" w:type="pct"/>
            <w:noWrap w:val="0"/>
            <w:vAlign w:val="center"/>
          </w:tcPr>
          <w:p w14:paraId="5FC2EBB5">
            <w:pPr>
              <w:spacing w:line="360" w:lineRule="auto"/>
              <w:rPr>
                <w:color w:val="000000"/>
                <w:highlight w:val="none"/>
              </w:rPr>
            </w:pPr>
            <w:r>
              <w:rPr>
                <w:rFonts w:hint="eastAsia"/>
                <w:color w:val="000000"/>
                <w:highlight w:val="none"/>
              </w:rPr>
              <w:t>开户银行：</w:t>
            </w:r>
          </w:p>
        </w:tc>
        <w:tc>
          <w:tcPr>
            <w:tcW w:w="1587" w:type="pct"/>
            <w:noWrap w:val="0"/>
            <w:vAlign w:val="center"/>
          </w:tcPr>
          <w:p w14:paraId="27C3817C">
            <w:pPr>
              <w:spacing w:line="360" w:lineRule="auto"/>
              <w:rPr>
                <w:color w:val="000000"/>
                <w:highlight w:val="none"/>
              </w:rPr>
            </w:pPr>
            <w:r>
              <w:rPr>
                <w:rFonts w:hint="eastAsia"/>
                <w:color w:val="000000"/>
                <w:highlight w:val="none"/>
              </w:rPr>
              <w:t>中国银行浏阳支行营业部</w:t>
            </w:r>
          </w:p>
        </w:tc>
        <w:tc>
          <w:tcPr>
            <w:tcW w:w="1164" w:type="pct"/>
            <w:noWrap w:val="0"/>
            <w:vAlign w:val="center"/>
          </w:tcPr>
          <w:p w14:paraId="0BEAB6DA">
            <w:pPr>
              <w:spacing w:line="360" w:lineRule="auto"/>
              <w:rPr>
                <w:color w:val="000000"/>
                <w:highlight w:val="none"/>
              </w:rPr>
            </w:pPr>
            <w:r>
              <w:rPr>
                <w:rFonts w:hint="eastAsia"/>
                <w:color w:val="000000"/>
                <w:highlight w:val="none"/>
              </w:rPr>
              <w:t>开户银行：</w:t>
            </w:r>
          </w:p>
        </w:tc>
        <w:tc>
          <w:tcPr>
            <w:tcW w:w="1166" w:type="pct"/>
            <w:noWrap w:val="0"/>
            <w:vAlign w:val="center"/>
          </w:tcPr>
          <w:p w14:paraId="7DAA0A44">
            <w:pPr>
              <w:spacing w:line="360" w:lineRule="auto"/>
              <w:rPr>
                <w:color w:val="000000"/>
                <w:highlight w:val="none"/>
              </w:rPr>
            </w:pPr>
          </w:p>
        </w:tc>
      </w:tr>
      <w:tr w14:paraId="7B024267">
        <w:tblPrEx>
          <w:tblCellMar>
            <w:top w:w="0" w:type="dxa"/>
            <w:left w:w="108" w:type="dxa"/>
            <w:bottom w:w="0" w:type="dxa"/>
            <w:right w:w="108" w:type="dxa"/>
          </w:tblCellMar>
        </w:tblPrEx>
        <w:tc>
          <w:tcPr>
            <w:tcW w:w="1081" w:type="pct"/>
            <w:noWrap w:val="0"/>
            <w:vAlign w:val="center"/>
          </w:tcPr>
          <w:p w14:paraId="2FB156AD">
            <w:pPr>
              <w:spacing w:line="360" w:lineRule="auto"/>
              <w:rPr>
                <w:color w:val="000000"/>
                <w:highlight w:val="none"/>
              </w:rPr>
            </w:pPr>
            <w:r>
              <w:rPr>
                <w:rFonts w:hint="eastAsia"/>
                <w:color w:val="000000"/>
                <w:highlight w:val="none"/>
              </w:rPr>
              <w:t>账号：</w:t>
            </w:r>
          </w:p>
        </w:tc>
        <w:tc>
          <w:tcPr>
            <w:tcW w:w="1587" w:type="pct"/>
            <w:noWrap w:val="0"/>
            <w:vAlign w:val="center"/>
          </w:tcPr>
          <w:p w14:paraId="6FC7A260">
            <w:pPr>
              <w:spacing w:line="360" w:lineRule="auto"/>
              <w:rPr>
                <w:color w:val="000000"/>
                <w:highlight w:val="none"/>
              </w:rPr>
            </w:pPr>
            <w:r>
              <w:rPr>
                <w:color w:val="000000"/>
                <w:highlight w:val="none"/>
              </w:rPr>
              <w:t>605457351460</w:t>
            </w:r>
          </w:p>
        </w:tc>
        <w:tc>
          <w:tcPr>
            <w:tcW w:w="1164" w:type="pct"/>
            <w:noWrap w:val="0"/>
            <w:vAlign w:val="center"/>
          </w:tcPr>
          <w:p w14:paraId="053316C6">
            <w:pPr>
              <w:spacing w:line="360" w:lineRule="auto"/>
              <w:rPr>
                <w:color w:val="000000"/>
                <w:highlight w:val="none"/>
              </w:rPr>
            </w:pPr>
            <w:r>
              <w:rPr>
                <w:rFonts w:hint="eastAsia"/>
                <w:color w:val="000000"/>
                <w:highlight w:val="none"/>
              </w:rPr>
              <w:t>账号：</w:t>
            </w:r>
          </w:p>
        </w:tc>
        <w:tc>
          <w:tcPr>
            <w:tcW w:w="1166" w:type="pct"/>
            <w:noWrap w:val="0"/>
            <w:vAlign w:val="center"/>
          </w:tcPr>
          <w:p w14:paraId="4E4FBC67">
            <w:pPr>
              <w:spacing w:line="360" w:lineRule="auto"/>
              <w:rPr>
                <w:color w:val="000000"/>
                <w:highlight w:val="none"/>
              </w:rPr>
            </w:pPr>
          </w:p>
        </w:tc>
      </w:tr>
      <w:tr w14:paraId="35A9B1C0">
        <w:tblPrEx>
          <w:tblCellMar>
            <w:top w:w="0" w:type="dxa"/>
            <w:left w:w="108" w:type="dxa"/>
            <w:bottom w:w="0" w:type="dxa"/>
            <w:right w:w="108" w:type="dxa"/>
          </w:tblCellMar>
        </w:tblPrEx>
        <w:tc>
          <w:tcPr>
            <w:tcW w:w="1081" w:type="pct"/>
            <w:noWrap w:val="0"/>
            <w:vAlign w:val="center"/>
          </w:tcPr>
          <w:p w14:paraId="35FB2AE0">
            <w:pPr>
              <w:spacing w:line="360" w:lineRule="auto"/>
              <w:rPr>
                <w:color w:val="000000"/>
                <w:highlight w:val="none"/>
              </w:rPr>
            </w:pPr>
            <w:r>
              <w:rPr>
                <w:rFonts w:hint="eastAsia"/>
                <w:color w:val="000000"/>
                <w:highlight w:val="none"/>
              </w:rPr>
              <w:t>税号：</w:t>
            </w:r>
          </w:p>
        </w:tc>
        <w:tc>
          <w:tcPr>
            <w:tcW w:w="1587" w:type="pct"/>
            <w:noWrap w:val="0"/>
            <w:vAlign w:val="center"/>
          </w:tcPr>
          <w:p w14:paraId="6E35D13B">
            <w:pPr>
              <w:spacing w:line="360" w:lineRule="auto"/>
              <w:rPr>
                <w:color w:val="000000"/>
                <w:highlight w:val="none"/>
              </w:rPr>
            </w:pPr>
            <w:r>
              <w:rPr>
                <w:color w:val="000000"/>
                <w:highlight w:val="none"/>
              </w:rPr>
              <w:t>12430181445011749T</w:t>
            </w:r>
          </w:p>
        </w:tc>
        <w:tc>
          <w:tcPr>
            <w:tcW w:w="1164" w:type="pct"/>
            <w:noWrap w:val="0"/>
            <w:vAlign w:val="center"/>
          </w:tcPr>
          <w:p w14:paraId="426E6D96">
            <w:pPr>
              <w:spacing w:line="360" w:lineRule="auto"/>
              <w:rPr>
                <w:color w:val="000000"/>
                <w:highlight w:val="none"/>
              </w:rPr>
            </w:pPr>
            <w:r>
              <w:rPr>
                <w:color w:val="000000"/>
                <w:highlight w:val="none"/>
              </w:rPr>
              <w:t>营业执照注册号：</w:t>
            </w:r>
          </w:p>
        </w:tc>
        <w:tc>
          <w:tcPr>
            <w:tcW w:w="1166" w:type="pct"/>
            <w:noWrap w:val="0"/>
            <w:vAlign w:val="center"/>
          </w:tcPr>
          <w:p w14:paraId="422941DE">
            <w:pPr>
              <w:spacing w:line="360" w:lineRule="auto"/>
              <w:rPr>
                <w:color w:val="000000"/>
                <w:highlight w:val="none"/>
              </w:rPr>
            </w:pPr>
          </w:p>
        </w:tc>
      </w:tr>
      <w:tr w14:paraId="7C8CED0B">
        <w:tblPrEx>
          <w:tblCellMar>
            <w:top w:w="0" w:type="dxa"/>
            <w:left w:w="108" w:type="dxa"/>
            <w:bottom w:w="0" w:type="dxa"/>
            <w:right w:w="108" w:type="dxa"/>
          </w:tblCellMar>
        </w:tblPrEx>
        <w:tc>
          <w:tcPr>
            <w:tcW w:w="1081" w:type="pct"/>
            <w:noWrap w:val="0"/>
            <w:vAlign w:val="center"/>
          </w:tcPr>
          <w:p w14:paraId="1AF95259">
            <w:pPr>
              <w:spacing w:line="360" w:lineRule="auto"/>
              <w:rPr>
                <w:color w:val="000000"/>
                <w:highlight w:val="none"/>
              </w:rPr>
            </w:pPr>
          </w:p>
        </w:tc>
        <w:tc>
          <w:tcPr>
            <w:tcW w:w="1587" w:type="pct"/>
            <w:noWrap w:val="0"/>
            <w:vAlign w:val="center"/>
          </w:tcPr>
          <w:p w14:paraId="53F83B4E">
            <w:pPr>
              <w:spacing w:line="360" w:lineRule="auto"/>
              <w:rPr>
                <w:color w:val="000000"/>
                <w:highlight w:val="none"/>
              </w:rPr>
            </w:pPr>
          </w:p>
        </w:tc>
        <w:tc>
          <w:tcPr>
            <w:tcW w:w="1164" w:type="pct"/>
            <w:noWrap w:val="0"/>
            <w:vAlign w:val="center"/>
          </w:tcPr>
          <w:p w14:paraId="4E5483CF">
            <w:pPr>
              <w:spacing w:line="360" w:lineRule="auto"/>
              <w:rPr>
                <w:color w:val="000000"/>
                <w:highlight w:val="none"/>
              </w:rPr>
            </w:pPr>
            <w:r>
              <w:rPr>
                <w:color w:val="000000"/>
                <w:highlight w:val="none"/>
              </w:rPr>
              <w:t>企业资质证书号：</w:t>
            </w:r>
          </w:p>
        </w:tc>
        <w:tc>
          <w:tcPr>
            <w:tcW w:w="1166" w:type="pct"/>
            <w:noWrap w:val="0"/>
            <w:vAlign w:val="center"/>
          </w:tcPr>
          <w:p w14:paraId="0D950C23">
            <w:pPr>
              <w:spacing w:line="360" w:lineRule="auto"/>
              <w:rPr>
                <w:color w:val="000000"/>
                <w:highlight w:val="none"/>
              </w:rPr>
            </w:pPr>
          </w:p>
        </w:tc>
      </w:tr>
    </w:tbl>
    <w:p w14:paraId="57C2DD9D">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双方经过友好协商，确定由乙方向甲方提供下列医用</w:t>
      </w:r>
      <w:r>
        <w:rPr>
          <w:rFonts w:hint="eastAsia" w:ascii="宋体" w:hAnsi="宋体"/>
          <w:b/>
          <w:color w:val="000000"/>
          <w:szCs w:val="21"/>
          <w:highlight w:val="none"/>
        </w:rPr>
        <w:t>试剂（以下简称产品或试剂）</w:t>
      </w:r>
      <w:r>
        <w:rPr>
          <w:rFonts w:hint="eastAsia" w:ascii="宋体" w:hAnsi="宋体"/>
          <w:color w:val="000000"/>
          <w:szCs w:val="21"/>
          <w:highlight w:val="none"/>
        </w:rPr>
        <w:t>：（详细清单见附件</w:t>
      </w:r>
      <w:r>
        <w:rPr>
          <w:color w:val="000000"/>
          <w:szCs w:val="21"/>
          <w:highlight w:val="none"/>
        </w:rPr>
        <w:t>1</w:t>
      </w:r>
      <w:r>
        <w:rPr>
          <w:rFonts w:hint="eastAsia" w:ascii="宋体" w:hAnsi="宋体"/>
          <w:color w:val="000000"/>
          <w:szCs w:val="21"/>
          <w:highlight w:val="none"/>
        </w:rPr>
        <w:t>）</w:t>
      </w:r>
    </w:p>
    <w:tbl>
      <w:tblPr>
        <w:tblStyle w:val="3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72"/>
        <w:gridCol w:w="871"/>
        <w:gridCol w:w="1000"/>
        <w:gridCol w:w="727"/>
        <w:gridCol w:w="441"/>
        <w:gridCol w:w="441"/>
        <w:gridCol w:w="644"/>
        <w:gridCol w:w="1071"/>
        <w:gridCol w:w="1134"/>
        <w:gridCol w:w="657"/>
        <w:gridCol w:w="657"/>
      </w:tblGrid>
      <w:tr w14:paraId="4A97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37" w:type="dxa"/>
            <w:noWrap/>
            <w:vAlign w:val="center"/>
          </w:tcPr>
          <w:p w14:paraId="47AB66E4">
            <w:pPr>
              <w:jc w:val="center"/>
              <w:rPr>
                <w:rFonts w:hint="eastAsia" w:eastAsia="宋体"/>
                <w:color w:val="000000"/>
                <w:highlight w:val="none"/>
                <w:lang w:eastAsia="zh-CN"/>
              </w:rPr>
            </w:pPr>
            <w:r>
              <w:rPr>
                <w:rFonts w:hint="eastAsia"/>
                <w:color w:val="000000"/>
                <w:highlight w:val="none"/>
                <w:lang w:eastAsia="zh-CN"/>
              </w:rPr>
              <w:t>包号</w:t>
            </w:r>
          </w:p>
        </w:tc>
        <w:tc>
          <w:tcPr>
            <w:tcW w:w="1072" w:type="dxa"/>
            <w:noWrap/>
            <w:vAlign w:val="center"/>
          </w:tcPr>
          <w:p w14:paraId="286D9694">
            <w:pPr>
              <w:jc w:val="center"/>
              <w:rPr>
                <w:color w:val="000000"/>
                <w:highlight w:val="none"/>
              </w:rPr>
            </w:pPr>
            <w:r>
              <w:rPr>
                <w:rFonts w:hint="eastAsia"/>
                <w:color w:val="000000"/>
                <w:highlight w:val="none"/>
              </w:rPr>
              <w:t>目录名称</w:t>
            </w:r>
          </w:p>
        </w:tc>
        <w:tc>
          <w:tcPr>
            <w:tcW w:w="871" w:type="dxa"/>
            <w:noWrap/>
            <w:vAlign w:val="center"/>
          </w:tcPr>
          <w:p w14:paraId="762DF67B">
            <w:pPr>
              <w:jc w:val="center"/>
              <w:rPr>
                <w:color w:val="000000"/>
                <w:highlight w:val="none"/>
              </w:rPr>
            </w:pPr>
            <w:r>
              <w:rPr>
                <w:rFonts w:hint="eastAsia"/>
                <w:color w:val="000000"/>
                <w:highlight w:val="none"/>
              </w:rPr>
              <w:t>供应商名称</w:t>
            </w:r>
          </w:p>
        </w:tc>
        <w:tc>
          <w:tcPr>
            <w:tcW w:w="1000" w:type="dxa"/>
            <w:noWrap/>
            <w:vAlign w:val="center"/>
          </w:tcPr>
          <w:p w14:paraId="2962B75E">
            <w:pPr>
              <w:jc w:val="center"/>
              <w:rPr>
                <w:color w:val="000000"/>
                <w:highlight w:val="none"/>
              </w:rPr>
            </w:pPr>
            <w:r>
              <w:rPr>
                <w:rFonts w:hint="eastAsia"/>
                <w:color w:val="000000"/>
                <w:highlight w:val="none"/>
              </w:rPr>
              <w:t>产品注册名称</w:t>
            </w:r>
          </w:p>
        </w:tc>
        <w:tc>
          <w:tcPr>
            <w:tcW w:w="727" w:type="dxa"/>
            <w:noWrap/>
            <w:vAlign w:val="center"/>
          </w:tcPr>
          <w:p w14:paraId="0C344728">
            <w:pPr>
              <w:jc w:val="center"/>
              <w:rPr>
                <w:color w:val="000000"/>
                <w:highlight w:val="none"/>
              </w:rPr>
            </w:pPr>
            <w:r>
              <w:rPr>
                <w:rFonts w:hint="eastAsia"/>
                <w:color w:val="000000"/>
                <w:highlight w:val="none"/>
              </w:rPr>
              <w:t>注册证号</w:t>
            </w:r>
          </w:p>
        </w:tc>
        <w:tc>
          <w:tcPr>
            <w:tcW w:w="441" w:type="dxa"/>
            <w:noWrap/>
            <w:vAlign w:val="center"/>
          </w:tcPr>
          <w:p w14:paraId="5333873A">
            <w:pPr>
              <w:jc w:val="center"/>
              <w:rPr>
                <w:color w:val="000000"/>
                <w:highlight w:val="none"/>
              </w:rPr>
            </w:pPr>
            <w:r>
              <w:rPr>
                <w:rFonts w:hint="eastAsia"/>
                <w:color w:val="000000"/>
                <w:highlight w:val="none"/>
              </w:rPr>
              <w:t>规格</w:t>
            </w:r>
          </w:p>
        </w:tc>
        <w:tc>
          <w:tcPr>
            <w:tcW w:w="441" w:type="dxa"/>
            <w:noWrap/>
            <w:vAlign w:val="center"/>
          </w:tcPr>
          <w:p w14:paraId="208A93DB">
            <w:pPr>
              <w:jc w:val="center"/>
              <w:rPr>
                <w:color w:val="000000"/>
                <w:highlight w:val="none"/>
              </w:rPr>
            </w:pPr>
            <w:r>
              <w:rPr>
                <w:rFonts w:hint="eastAsia"/>
                <w:color w:val="000000"/>
                <w:highlight w:val="none"/>
              </w:rPr>
              <w:t>型号</w:t>
            </w:r>
          </w:p>
        </w:tc>
        <w:tc>
          <w:tcPr>
            <w:tcW w:w="644" w:type="dxa"/>
            <w:noWrap/>
            <w:vAlign w:val="center"/>
          </w:tcPr>
          <w:p w14:paraId="68D0C4E0">
            <w:pPr>
              <w:jc w:val="center"/>
              <w:rPr>
                <w:color w:val="000000"/>
                <w:highlight w:val="none"/>
              </w:rPr>
            </w:pPr>
            <w:r>
              <w:rPr>
                <w:rFonts w:hint="eastAsia"/>
                <w:color w:val="000000"/>
                <w:highlight w:val="none"/>
              </w:rPr>
              <w:t>生产厂家</w:t>
            </w:r>
          </w:p>
        </w:tc>
        <w:tc>
          <w:tcPr>
            <w:tcW w:w="1071" w:type="dxa"/>
            <w:noWrap/>
            <w:vAlign w:val="center"/>
          </w:tcPr>
          <w:p w14:paraId="4A7EED67">
            <w:pPr>
              <w:jc w:val="center"/>
              <w:rPr>
                <w:color w:val="000000"/>
                <w:highlight w:val="none"/>
              </w:rPr>
            </w:pPr>
            <w:r>
              <w:rPr>
                <w:rFonts w:hint="eastAsia"/>
                <w:color w:val="000000"/>
                <w:highlight w:val="none"/>
              </w:rPr>
              <w:t>阳光平台价格（元）</w:t>
            </w:r>
          </w:p>
        </w:tc>
        <w:tc>
          <w:tcPr>
            <w:tcW w:w="1134" w:type="dxa"/>
            <w:noWrap/>
            <w:vAlign w:val="center"/>
          </w:tcPr>
          <w:p w14:paraId="61E3CAD6">
            <w:pPr>
              <w:jc w:val="center"/>
              <w:rPr>
                <w:color w:val="000000"/>
                <w:highlight w:val="none"/>
              </w:rPr>
            </w:pPr>
            <w:r>
              <w:rPr>
                <w:rFonts w:hint="eastAsia"/>
                <w:color w:val="000000"/>
                <w:highlight w:val="none"/>
              </w:rPr>
              <w:t>阳光平台组件码</w:t>
            </w:r>
          </w:p>
        </w:tc>
        <w:tc>
          <w:tcPr>
            <w:tcW w:w="657" w:type="dxa"/>
            <w:noWrap/>
            <w:vAlign w:val="center"/>
          </w:tcPr>
          <w:p w14:paraId="634D2E28">
            <w:pPr>
              <w:jc w:val="center"/>
              <w:rPr>
                <w:color w:val="000000"/>
                <w:highlight w:val="none"/>
              </w:rPr>
            </w:pPr>
            <w:r>
              <w:rPr>
                <w:rFonts w:hint="eastAsia"/>
                <w:color w:val="000000"/>
                <w:highlight w:val="none"/>
              </w:rPr>
              <w:t>成交价</w:t>
            </w:r>
          </w:p>
        </w:tc>
        <w:tc>
          <w:tcPr>
            <w:tcW w:w="657" w:type="dxa"/>
            <w:noWrap w:val="0"/>
            <w:vAlign w:val="top"/>
          </w:tcPr>
          <w:p w14:paraId="29B29894">
            <w:pPr>
              <w:jc w:val="center"/>
              <w:rPr>
                <w:color w:val="000000"/>
                <w:highlight w:val="none"/>
              </w:rPr>
            </w:pPr>
            <w:r>
              <w:rPr>
                <w:rFonts w:hint="eastAsia"/>
                <w:color w:val="000000"/>
                <w:highlight w:val="none"/>
              </w:rPr>
              <w:t>医保编码</w:t>
            </w:r>
          </w:p>
        </w:tc>
      </w:tr>
      <w:tr w14:paraId="7569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352" w:type="dxa"/>
            <w:gridSpan w:val="12"/>
            <w:noWrap/>
            <w:vAlign w:val="center"/>
          </w:tcPr>
          <w:p w14:paraId="4CDFE33D">
            <w:pPr>
              <w:jc w:val="center"/>
              <w:rPr>
                <w:color w:val="000000"/>
                <w:highlight w:val="none"/>
              </w:rPr>
            </w:pPr>
            <w:r>
              <w:rPr>
                <w:rFonts w:hint="eastAsia"/>
                <w:color w:val="000000"/>
                <w:highlight w:val="none"/>
              </w:rPr>
              <w:t>详见附件</w:t>
            </w:r>
            <w:r>
              <w:rPr>
                <w:color w:val="000000"/>
                <w:highlight w:val="none"/>
              </w:rPr>
              <w:t>1</w:t>
            </w:r>
          </w:p>
        </w:tc>
      </w:tr>
    </w:tbl>
    <w:p w14:paraId="170F060A">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甲乙双方经协商，就</w:t>
      </w:r>
      <w:r>
        <w:rPr>
          <w:rFonts w:hint="eastAsia" w:ascii="宋体" w:hAnsi="宋体"/>
          <w:b/>
          <w:color w:val="000000"/>
          <w:szCs w:val="21"/>
          <w:highlight w:val="none"/>
        </w:rPr>
        <w:t>试剂</w:t>
      </w:r>
      <w:r>
        <w:rPr>
          <w:rFonts w:hint="eastAsia" w:ascii="宋体" w:hAnsi="宋体"/>
          <w:color w:val="000000"/>
          <w:szCs w:val="21"/>
          <w:highlight w:val="none"/>
        </w:rPr>
        <w:t>供应事宜达成本合同如下各条：</w:t>
      </w:r>
    </w:p>
    <w:p w14:paraId="1BC11BA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一、产品质量要求：乙方保证销售给甲方的</w:t>
      </w:r>
      <w:r>
        <w:rPr>
          <w:rFonts w:ascii="宋体" w:hAnsi="宋体"/>
          <w:b/>
          <w:color w:val="000000"/>
          <w:szCs w:val="21"/>
          <w:highlight w:val="none"/>
        </w:rPr>
        <w:t>试剂</w:t>
      </w:r>
      <w:r>
        <w:rPr>
          <w:rFonts w:hint="eastAsia" w:ascii="宋体" w:hAnsi="宋体"/>
          <w:color w:val="000000"/>
          <w:szCs w:val="21"/>
          <w:highlight w:val="none"/>
        </w:rPr>
        <w:t>是这次投标中标的品牌及规格的合格产品，且符合国家相关标准；合同期内，严禁乙方擅自更改</w:t>
      </w:r>
      <w:r>
        <w:rPr>
          <w:rFonts w:ascii="宋体" w:hAnsi="宋体"/>
          <w:b/>
          <w:color w:val="000000"/>
          <w:szCs w:val="21"/>
          <w:highlight w:val="none"/>
        </w:rPr>
        <w:t>试剂</w:t>
      </w:r>
      <w:r>
        <w:rPr>
          <w:rFonts w:hint="eastAsia" w:ascii="宋体" w:hAnsi="宋体"/>
          <w:color w:val="000000"/>
          <w:szCs w:val="21"/>
          <w:highlight w:val="none"/>
        </w:rPr>
        <w:t xml:space="preserve">的品牌、规格、型号等，否则甲方有权解除本合同。 </w:t>
      </w:r>
    </w:p>
    <w:p w14:paraId="3D2A7BE4">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二、产品价格及购买数量</w:t>
      </w:r>
    </w:p>
    <w:p w14:paraId="3871DE7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产品价格：乙方按中标价格向甲方提供产品，并保证该价格</w:t>
      </w:r>
      <w:r>
        <w:rPr>
          <w:rFonts w:hint="eastAsia" w:ascii="宋体" w:hAnsi="宋体"/>
          <w:b/>
          <w:bCs/>
          <w:color w:val="000000"/>
          <w:szCs w:val="21"/>
          <w:highlight w:val="none"/>
        </w:rPr>
        <w:t>不高于全国医疗机构或当地同级别医院实际供货的最低价格，否则，甲方有权立即解除合同，且已供货的产品按全国或当地同级别医院最低价的</w:t>
      </w:r>
      <w:r>
        <w:rPr>
          <w:b/>
          <w:bCs/>
          <w:color w:val="000000"/>
          <w:szCs w:val="21"/>
          <w:highlight w:val="none"/>
        </w:rPr>
        <w:t>8</w:t>
      </w:r>
      <w:r>
        <w:rPr>
          <w:rFonts w:hint="eastAsia" w:ascii="宋体" w:hAnsi="宋体"/>
          <w:b/>
          <w:bCs/>
          <w:color w:val="000000"/>
          <w:szCs w:val="21"/>
          <w:highlight w:val="none"/>
        </w:rPr>
        <w:t>折结算</w:t>
      </w:r>
      <w:r>
        <w:rPr>
          <w:rFonts w:hint="eastAsia" w:ascii="宋体" w:hAnsi="宋体"/>
          <w:color w:val="000000"/>
          <w:szCs w:val="21"/>
          <w:highlight w:val="none"/>
        </w:rPr>
        <w:t>。合同期内乙方不得擅自上调供货价格。若特殊原因需要调价，须经甲方同意，并按甲方有关程序办理。</w:t>
      </w:r>
    </w:p>
    <w:p w14:paraId="052E65B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购买数量：本合同项下产品采用乙方固定单价按甲方需求供货的形式，具体产品购买数量以甲方订单为准，如甲方对上述产品无需求，可以不向乙方发送订单，不向乙方进行采购。</w:t>
      </w:r>
    </w:p>
    <w:p w14:paraId="4C62982E">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三、本合同有效期自</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日至</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日，在合同期限内因甲方内部文件要求、国家政策、法律法规发生变化，甲方需执行同类产品重新招标，乙方未投标或投标后未中标的，视为本合同已经提前到期（乙方不能继续供应该产品）。</w:t>
      </w:r>
    </w:p>
    <w:p w14:paraId="0A61214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四、甲方订货形式及订货信息送达：</w:t>
      </w:r>
    </w:p>
    <w:p w14:paraId="1527EFA8">
      <w:pPr>
        <w:spacing w:line="360" w:lineRule="auto"/>
        <w:ind w:firstLine="420" w:firstLineChars="200"/>
        <w:rPr>
          <w:rFonts w:ascii="宋体" w:hAnsi="宋体"/>
          <w:color w:val="000000"/>
          <w:szCs w:val="21"/>
          <w:highlight w:val="none"/>
        </w:rPr>
      </w:pPr>
      <w:r>
        <w:rPr>
          <w:color w:val="000000"/>
          <w:szCs w:val="21"/>
          <w:highlight w:val="none"/>
        </w:rPr>
        <w:t>1</w:t>
      </w:r>
      <w:r>
        <w:rPr>
          <w:rFonts w:hint="eastAsia" w:ascii="宋体" w:hAnsi="宋体"/>
          <w:color w:val="000000"/>
          <w:szCs w:val="21"/>
          <w:highlight w:val="none"/>
        </w:rPr>
        <w:t>、乙方试剂由负责甲方试剂集中配送公司进行配送，配送公司收取配送服务费,服务费收取：</w:t>
      </w:r>
      <w:r>
        <w:rPr>
          <w:rFonts w:hint="eastAsia"/>
          <w:color w:val="000000"/>
          <w:highlight w:val="none"/>
        </w:rPr>
        <w:t>试剂为销售金额的</w:t>
      </w:r>
      <w:r>
        <w:rPr>
          <w:color w:val="000000"/>
          <w:highlight w:val="none"/>
        </w:rPr>
        <w:t>2</w:t>
      </w:r>
      <w:r>
        <w:rPr>
          <w:rFonts w:hint="eastAsia"/>
          <w:color w:val="000000"/>
          <w:highlight w:val="none"/>
        </w:rPr>
        <w:t>.</w:t>
      </w:r>
      <w:r>
        <w:rPr>
          <w:color w:val="000000"/>
          <w:highlight w:val="none"/>
        </w:rPr>
        <w:t>8</w:t>
      </w:r>
      <w:r>
        <w:rPr>
          <w:rFonts w:hint="eastAsia"/>
          <w:color w:val="000000"/>
          <w:highlight w:val="none"/>
        </w:rPr>
        <w:t>%</w:t>
      </w:r>
      <w:r>
        <w:rPr>
          <w:rFonts w:hint="eastAsia" w:ascii="宋体" w:hAnsi="宋体"/>
          <w:color w:val="000000"/>
          <w:szCs w:val="21"/>
          <w:highlight w:val="none"/>
        </w:rPr>
        <w:t>。</w:t>
      </w:r>
    </w:p>
    <w:p w14:paraId="0E317798">
      <w:pPr>
        <w:spacing w:line="360" w:lineRule="auto"/>
        <w:ind w:firstLine="420" w:firstLineChars="200"/>
        <w:rPr>
          <w:rFonts w:ascii="宋体" w:hAnsi="宋体"/>
          <w:color w:val="000000"/>
          <w:szCs w:val="21"/>
          <w:highlight w:val="none"/>
        </w:rPr>
      </w:pPr>
      <w:r>
        <w:rPr>
          <w:color w:val="000000"/>
          <w:szCs w:val="21"/>
          <w:highlight w:val="none"/>
        </w:rPr>
        <w:t>2</w:t>
      </w:r>
      <w:r>
        <w:rPr>
          <w:rFonts w:hint="eastAsia" w:ascii="宋体" w:hAnsi="宋体"/>
          <w:color w:val="000000"/>
          <w:szCs w:val="21"/>
          <w:highlight w:val="none"/>
        </w:rPr>
        <w:t>、乙方提供的品种出现质量事故，造成不良后果，经权威部门认定，属于产品质量问题的，一切损失费用及赔偿由乙方负责。</w:t>
      </w:r>
    </w:p>
    <w:p w14:paraId="2AB432D0">
      <w:pPr>
        <w:spacing w:line="360" w:lineRule="auto"/>
        <w:ind w:firstLine="420" w:firstLineChars="200"/>
        <w:rPr>
          <w:rFonts w:ascii="宋体" w:hAnsi="宋体"/>
          <w:color w:val="000000"/>
          <w:szCs w:val="21"/>
          <w:highlight w:val="none"/>
        </w:rPr>
      </w:pPr>
      <w:r>
        <w:rPr>
          <w:color w:val="000000"/>
          <w:szCs w:val="21"/>
          <w:highlight w:val="none"/>
        </w:rPr>
        <w:t>3</w:t>
      </w:r>
      <w:r>
        <w:rPr>
          <w:rFonts w:hint="eastAsia" w:ascii="宋体" w:hAnsi="宋体"/>
          <w:color w:val="000000"/>
          <w:szCs w:val="21"/>
          <w:highlight w:val="none"/>
        </w:rPr>
        <w:t>、为保障医疗业务的正常开展和患者的临时需要，当甲方通知乙方需要目录内试剂不能及时按要求提供，或出现推诿等情况，全年累计三次，甲方有权转交他人供应，乙方不得提出异议。</w:t>
      </w:r>
    </w:p>
    <w:p w14:paraId="1A9E7076">
      <w:pPr>
        <w:spacing w:line="360" w:lineRule="auto"/>
        <w:ind w:firstLine="420" w:firstLineChars="200"/>
        <w:rPr>
          <w:rFonts w:ascii="宋体" w:hAnsi="宋体"/>
          <w:color w:val="000000"/>
          <w:szCs w:val="21"/>
          <w:highlight w:val="none"/>
        </w:rPr>
      </w:pPr>
      <w:r>
        <w:rPr>
          <w:color w:val="000000"/>
          <w:szCs w:val="21"/>
          <w:highlight w:val="none"/>
        </w:rPr>
        <w:t>4</w:t>
      </w:r>
      <w:r>
        <w:rPr>
          <w:rFonts w:hint="eastAsia" w:ascii="宋体" w:hAnsi="宋体"/>
          <w:color w:val="000000"/>
          <w:szCs w:val="21"/>
          <w:highlight w:val="none"/>
        </w:rPr>
        <w:t>、乙方需参与试剂的效期管理，订单计划内的试剂，配送时如失效期在</w:t>
      </w:r>
      <w:r>
        <w:rPr>
          <w:color w:val="000000"/>
          <w:szCs w:val="21"/>
          <w:highlight w:val="none"/>
        </w:rPr>
        <w:t>1</w:t>
      </w:r>
      <w:r>
        <w:rPr>
          <w:rFonts w:hint="eastAsia" w:ascii="宋体" w:hAnsi="宋体"/>
          <w:color w:val="000000"/>
          <w:szCs w:val="21"/>
          <w:highlight w:val="none"/>
        </w:rPr>
        <w:t>年以内的，甲方拒绝付款（产品本身效期短的除外）。</w:t>
      </w:r>
    </w:p>
    <w:p w14:paraId="177DDC8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乙方业务联系人员姓名：       联系电话：               </w:t>
      </w:r>
    </w:p>
    <w:p w14:paraId="3ECD2FCB">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乙方变更联系人时应于当日及时通知甲方。</w:t>
      </w:r>
    </w:p>
    <w:p w14:paraId="0CA03FB5">
      <w:pPr>
        <w:spacing w:line="360" w:lineRule="auto"/>
        <w:ind w:firstLine="420" w:firstLineChars="200"/>
        <w:rPr>
          <w:rFonts w:ascii="宋体" w:hAnsi="宋体"/>
          <w:b/>
          <w:bCs/>
          <w:color w:val="000000"/>
          <w:szCs w:val="21"/>
          <w:highlight w:val="none"/>
        </w:rPr>
      </w:pPr>
      <w:r>
        <w:rPr>
          <w:rFonts w:hint="eastAsia" w:ascii="宋体" w:hAnsi="宋体"/>
          <w:color w:val="000000"/>
          <w:szCs w:val="21"/>
          <w:highlight w:val="none"/>
        </w:rPr>
        <w:t>五、资质及产品验证：乙方向甲方供货前应将其产品有效证件及公司有效证照等交甲方物资供应中心录入备案。</w:t>
      </w:r>
      <w:r>
        <w:rPr>
          <w:rFonts w:hint="eastAsia" w:ascii="宋体" w:hAnsi="宋体"/>
          <w:b/>
          <w:bCs/>
          <w:color w:val="000000"/>
          <w:szCs w:val="21"/>
          <w:highlight w:val="none"/>
        </w:rPr>
        <w:t>厂家授权经销商的授权书必须覆盖本合同有效期，如果厂家取消授权，则合同自动失效。合同有效期内，乙方不得擅自转让本合同，否则甲方有权解除本合同。</w:t>
      </w:r>
    </w:p>
    <w:p w14:paraId="1740897F">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六、债权债务转让</w:t>
      </w:r>
    </w:p>
    <w:p w14:paraId="1E93E068">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合同期内，未经甲方同意，乙方供货义务不得转让给第三人，否则，甲方可以单方解除本合同。</w:t>
      </w:r>
    </w:p>
    <w:p w14:paraId="54C33352">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本合同项下乙方收取货款的权利，未经甲方同意，不得转让。</w:t>
      </w:r>
    </w:p>
    <w:p w14:paraId="6AB20414">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七、交货地点：</w:t>
      </w:r>
      <w:r>
        <w:rPr>
          <w:rFonts w:hint="eastAsia" w:ascii="宋体" w:hAnsi="宋体"/>
          <w:color w:val="000000"/>
          <w:szCs w:val="21"/>
          <w:highlight w:val="none"/>
          <w:u w:val="single"/>
        </w:rPr>
        <w:t xml:space="preserve">         浏阳市人民医院</w:t>
      </w:r>
      <w:r>
        <w:rPr>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（甲方指定仓库）。</w:t>
      </w:r>
    </w:p>
    <w:p w14:paraId="7CC7A51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八、备货承诺及交货时间：</w:t>
      </w:r>
    </w:p>
    <w:p w14:paraId="0B8867E4">
      <w:pPr>
        <w:spacing w:line="360" w:lineRule="auto"/>
        <w:ind w:firstLine="420" w:firstLineChars="200"/>
        <w:rPr>
          <w:rFonts w:ascii="宋体" w:hAnsi="宋体"/>
          <w:color w:val="000000"/>
          <w:szCs w:val="21"/>
          <w:highlight w:val="none"/>
        </w:rPr>
      </w:pPr>
      <w:r>
        <w:rPr>
          <w:color w:val="000000"/>
          <w:szCs w:val="21"/>
          <w:highlight w:val="none"/>
        </w:rPr>
        <w:t>1</w:t>
      </w:r>
      <w:r>
        <w:rPr>
          <w:rFonts w:hint="eastAsia" w:ascii="宋体" w:hAnsi="宋体"/>
          <w:color w:val="000000"/>
          <w:szCs w:val="21"/>
          <w:highlight w:val="none"/>
        </w:rPr>
        <w:t>.备货承诺：乙方承诺在合同期内为甲方预留充足备货。</w:t>
      </w:r>
    </w:p>
    <w:p w14:paraId="4A468100">
      <w:pPr>
        <w:spacing w:line="360" w:lineRule="auto"/>
        <w:ind w:firstLine="420" w:firstLineChars="200"/>
        <w:rPr>
          <w:rFonts w:ascii="宋体" w:hAnsi="宋体"/>
          <w:color w:val="000000"/>
          <w:szCs w:val="21"/>
          <w:highlight w:val="none"/>
        </w:rPr>
      </w:pPr>
      <w:r>
        <w:rPr>
          <w:color w:val="000000"/>
          <w:szCs w:val="21"/>
          <w:highlight w:val="none"/>
        </w:rPr>
        <w:t>2</w:t>
      </w:r>
      <w:r>
        <w:rPr>
          <w:rFonts w:hint="eastAsia" w:ascii="宋体" w:hAnsi="宋体"/>
          <w:color w:val="000000"/>
          <w:szCs w:val="21"/>
          <w:highlight w:val="none"/>
        </w:rPr>
        <w:t>.交货时间：自订单送达之日起</w:t>
      </w:r>
      <w:r>
        <w:rPr>
          <w:color w:val="000000"/>
          <w:szCs w:val="21"/>
          <w:highlight w:val="none"/>
        </w:rPr>
        <w:t>3</w:t>
      </w:r>
      <w:r>
        <w:rPr>
          <w:rFonts w:hint="eastAsia" w:ascii="宋体" w:hAnsi="宋体"/>
          <w:color w:val="000000"/>
          <w:szCs w:val="21"/>
          <w:highlight w:val="none"/>
        </w:rPr>
        <w:t>个自然日内。</w:t>
      </w:r>
    </w:p>
    <w:p w14:paraId="3F8FDCA9">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如乙方未按合同规定时间将产品运到甲方指定地点或未按约定时间送到全部产品（经甲方书面同意允许延期交货的产品除外），每延期一日，乙方应向甲方支付本合同总货款 </w:t>
      </w:r>
      <w:r>
        <w:rPr>
          <w:color w:val="000000"/>
          <w:szCs w:val="21"/>
          <w:highlight w:val="none"/>
        </w:rPr>
        <w:t>3</w:t>
      </w:r>
      <w:r>
        <w:rPr>
          <w:rFonts w:hint="eastAsia" w:ascii="宋体" w:hAnsi="宋体"/>
          <w:color w:val="000000"/>
          <w:szCs w:val="21"/>
          <w:highlight w:val="none"/>
        </w:rPr>
        <w:t xml:space="preserve"> %的违约金，上不封顶。</w:t>
      </w:r>
    </w:p>
    <w:p w14:paraId="47E5E42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九、运输及运输相关费用：乙方负责安排运输（送货上门）并承担运输装卸相关费用，在途货物损耗、灭失风险归乙方承担。</w:t>
      </w:r>
    </w:p>
    <w:p w14:paraId="11B2E85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十、付款要求及方式：</w:t>
      </w:r>
    </w:p>
    <w:p w14:paraId="388CA807">
      <w:pPr>
        <w:spacing w:line="360" w:lineRule="auto"/>
        <w:ind w:firstLine="420" w:firstLineChars="200"/>
        <w:rPr>
          <w:rFonts w:ascii="宋体" w:hAnsi="宋体"/>
          <w:color w:val="000000"/>
          <w:szCs w:val="21"/>
          <w:highlight w:val="none"/>
        </w:rPr>
      </w:pPr>
      <w:r>
        <w:rPr>
          <w:color w:val="000000"/>
          <w:szCs w:val="21"/>
          <w:highlight w:val="none"/>
        </w:rPr>
        <w:t>1</w:t>
      </w:r>
      <w:r>
        <w:rPr>
          <w:rFonts w:hint="eastAsia" w:ascii="宋体" w:hAnsi="宋体"/>
          <w:color w:val="000000"/>
          <w:szCs w:val="21"/>
          <w:highlight w:val="none"/>
        </w:rPr>
        <w:t xml:space="preserve">、货到甲方指定地点，甲乙双方共同对产品进行验收，乙方每月需向甲方提供符合甲方要求的发票，经甲方将产品订单与产品验收单对照核实后，确认发生费用与乙方提供的发票相符，甲方按实际发生的货款在完成内部付款流程后，根据医院的财务制度付款。 </w:t>
      </w:r>
    </w:p>
    <w:p w14:paraId="3427E469">
      <w:pPr>
        <w:spacing w:line="360" w:lineRule="auto"/>
        <w:ind w:firstLine="420" w:firstLineChars="200"/>
        <w:rPr>
          <w:rFonts w:ascii="宋体" w:hAnsi="宋体"/>
          <w:color w:val="000000"/>
          <w:szCs w:val="21"/>
          <w:highlight w:val="none"/>
        </w:rPr>
      </w:pPr>
      <w:r>
        <w:rPr>
          <w:color w:val="000000"/>
          <w:szCs w:val="21"/>
          <w:highlight w:val="none"/>
        </w:rPr>
        <w:t>2</w:t>
      </w:r>
      <w:r>
        <w:rPr>
          <w:rFonts w:hint="eastAsia" w:ascii="宋体" w:hAnsi="宋体"/>
          <w:color w:val="000000"/>
          <w:szCs w:val="21"/>
          <w:highlight w:val="none"/>
        </w:rPr>
        <w:t>、应付款项甲方支付至本合同约定的账号，合同期内乙方不得更改收款账户，甲方仅进行一次支付，如支付失败，甲方有权暂停支付至乙方提供新的符合甲方要求的收款账户及相关证明文件之日。乙方变更工商信息时应及时以书面的形式告知甲方，未及时告知而导致乙方损失则由乙方自行负责，甲方不承担责任。</w:t>
      </w:r>
    </w:p>
    <w:p w14:paraId="48697610">
      <w:pPr>
        <w:spacing w:line="360" w:lineRule="auto"/>
        <w:ind w:firstLine="420" w:firstLineChars="200"/>
        <w:rPr>
          <w:rFonts w:ascii="宋体" w:hAnsi="宋体"/>
          <w:color w:val="000000"/>
          <w:szCs w:val="21"/>
          <w:highlight w:val="none"/>
        </w:rPr>
      </w:pPr>
      <w:r>
        <w:rPr>
          <w:color w:val="000000"/>
          <w:szCs w:val="21"/>
          <w:highlight w:val="none"/>
        </w:rPr>
        <w:t>3</w:t>
      </w:r>
      <w:r>
        <w:rPr>
          <w:rFonts w:hint="eastAsia" w:ascii="宋体" w:hAnsi="宋体"/>
          <w:color w:val="000000"/>
          <w:szCs w:val="21"/>
          <w:highlight w:val="none"/>
        </w:rPr>
        <w:t>、货款结算方式：为期</w:t>
      </w:r>
      <w:r>
        <w:rPr>
          <w:color w:val="000000"/>
          <w:szCs w:val="21"/>
          <w:highlight w:val="none"/>
        </w:rPr>
        <w:t>6</w:t>
      </w:r>
      <w:r>
        <w:rPr>
          <w:rFonts w:hint="eastAsia" w:ascii="宋体" w:hAnsi="宋体"/>
          <w:color w:val="000000"/>
          <w:szCs w:val="21"/>
          <w:highlight w:val="none"/>
        </w:rPr>
        <w:t>个月银行承兑汇票结算，带量采购产品次月转账结算。</w:t>
      </w:r>
    </w:p>
    <w:p w14:paraId="00392B22">
      <w:pPr>
        <w:spacing w:line="360" w:lineRule="auto"/>
        <w:rPr>
          <w:rFonts w:ascii="宋体" w:hAnsi="宋体"/>
          <w:color w:val="000000"/>
          <w:szCs w:val="21"/>
          <w:highlight w:val="none"/>
          <w:u w:val="single"/>
        </w:rPr>
      </w:pPr>
      <w:r>
        <w:rPr>
          <w:rFonts w:hint="eastAsia" w:ascii="宋体" w:hAnsi="宋体"/>
          <w:color w:val="000000"/>
          <w:szCs w:val="21"/>
          <w:highlight w:val="none"/>
        </w:rPr>
        <w:t>乙方的收款账号为：</w:t>
      </w:r>
      <w:r>
        <w:rPr>
          <w:rFonts w:hint="eastAsia" w:ascii="宋体" w:hAnsi="宋体"/>
          <w:color w:val="000000"/>
          <w:szCs w:val="21"/>
          <w:highlight w:val="none"/>
          <w:u w:val="single"/>
        </w:rPr>
        <w:t xml:space="preserve">                       </w:t>
      </w:r>
    </w:p>
    <w:p w14:paraId="7B02CA74">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    开户银行：</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117B3E31">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    户    名：</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28A45A19">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十一、知识产权及产品销售权利</w:t>
      </w:r>
    </w:p>
    <w:p w14:paraId="16BCA75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乙方保证对本合同项下产品在合同期内拥有完全知识产权或知识产权授权，对于所涉及的第三方知识产权予以了充分的尊重和保护，乙方为本合同所提供的相关产品均不存在知识产权方面的瑕疵，否则乙方应对甲方因使用乙方产品导致任何第三方向甲方提起知识产权索赔要求、诉讼或其他侵权指控行为承担全部责任。</w:t>
      </w:r>
    </w:p>
    <w:p w14:paraId="51EC03E5">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乙方保证对本合同项下产品在合同期内拥有完全的销售权利（包括但不限于代理经营权等），如乙方在合同期内丧失产品销售权导致无法供货，甲方可单方解除合同。乙方应当承担本合同总金额</w:t>
      </w:r>
      <w:r>
        <w:rPr>
          <w:color w:val="000000"/>
          <w:szCs w:val="21"/>
          <w:highlight w:val="none"/>
        </w:rPr>
        <w:t>10</w:t>
      </w:r>
      <w:r>
        <w:rPr>
          <w:rFonts w:hint="eastAsia" w:ascii="宋体" w:hAnsi="宋体"/>
          <w:color w:val="000000"/>
          <w:szCs w:val="21"/>
          <w:highlight w:val="none"/>
        </w:rPr>
        <w:t>%的违约责任，且应当承担甲方全部损失，包括但不限于重新招标、使用替代产品等。</w:t>
      </w:r>
    </w:p>
    <w:p w14:paraId="37792BD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十二、售后服务及售后发生事件处理：乙方必须遵守商业道德及国家的相关法规，依照投标时的承诺和本合同约定，按质按量按时提供产品并提供良好的售后服务。凡因乙方产品质量和服务质量等原因引起的医疗纠纷，由乙方负全部法律责任和经济责任（首先乙方应无条件协助医院解决患者提出的合理要求及问题），同时甲方有权解除本合同。因使用本合同约定试剂的设备发生故障等原因造成的产品损耗由乙方承担，甲方可直接以损耗冲减乙方供货量；因使用本合同约定</w:t>
      </w:r>
      <w:r>
        <w:rPr>
          <w:rFonts w:ascii="宋体" w:hAnsi="宋体"/>
          <w:color w:val="000000"/>
          <w:szCs w:val="21"/>
          <w:highlight w:val="none"/>
        </w:rPr>
        <w:t>试剂</w:t>
      </w:r>
      <w:r>
        <w:rPr>
          <w:rFonts w:hint="eastAsia" w:ascii="宋体" w:hAnsi="宋体"/>
          <w:color w:val="000000"/>
          <w:szCs w:val="21"/>
          <w:highlight w:val="none"/>
        </w:rPr>
        <w:t>或设备本身原因产生的医疗损害责任和安全事故责任等由乙方负责。</w:t>
      </w:r>
    </w:p>
    <w:p w14:paraId="76CF89FD">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十三、争议解决方式：因履行本合同产生的争议双方应协商解决，若双方不能协商解决，任何一方均可向甲方所在地有管辖权的人民法院起诉。</w:t>
      </w:r>
    </w:p>
    <w:p w14:paraId="087E1B37">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十四、合同解除：除本合同条款约定的合同解除情形之外，乙方如有下列情形之一的，甲方有权解除合同：</w:t>
      </w:r>
    </w:p>
    <w:p w14:paraId="590D015B">
      <w:pPr>
        <w:spacing w:line="360" w:lineRule="auto"/>
        <w:ind w:firstLine="420" w:firstLineChars="200"/>
        <w:rPr>
          <w:rFonts w:ascii="宋体" w:hAnsi="宋体"/>
          <w:color w:val="000000"/>
          <w:szCs w:val="21"/>
          <w:highlight w:val="none"/>
        </w:rPr>
      </w:pPr>
      <w:r>
        <w:rPr>
          <w:color w:val="000000"/>
          <w:szCs w:val="21"/>
          <w:highlight w:val="none"/>
        </w:rPr>
        <w:t>1</w:t>
      </w:r>
      <w:r>
        <w:rPr>
          <w:rFonts w:hint="eastAsia" w:ascii="宋体" w:hAnsi="宋体"/>
          <w:color w:val="000000"/>
          <w:szCs w:val="21"/>
          <w:highlight w:val="none"/>
        </w:rPr>
        <w:t>.在合同期内甲方有权对乙方的服务质量、响应及时性、货物质量等进行不定期考核，甲方评价乙方考核不合格的；</w:t>
      </w:r>
    </w:p>
    <w:p w14:paraId="27CA45B5">
      <w:pPr>
        <w:spacing w:line="360" w:lineRule="auto"/>
        <w:ind w:firstLine="420" w:firstLineChars="200"/>
        <w:rPr>
          <w:rFonts w:ascii="宋体" w:hAnsi="宋体"/>
          <w:color w:val="000000"/>
          <w:szCs w:val="21"/>
          <w:highlight w:val="none"/>
        </w:rPr>
      </w:pPr>
      <w:r>
        <w:rPr>
          <w:color w:val="000000"/>
          <w:szCs w:val="21"/>
          <w:highlight w:val="none"/>
        </w:rPr>
        <w:t>2</w:t>
      </w:r>
      <w:r>
        <w:rPr>
          <w:rFonts w:hint="eastAsia" w:ascii="宋体" w:hAnsi="宋体"/>
          <w:color w:val="000000"/>
          <w:szCs w:val="21"/>
          <w:highlight w:val="none"/>
        </w:rPr>
        <w:t>.服务期内如乙方出现违法行为或被执法机关吊销营业执照、取消资质、责令停业、暂扣安全生产许可证以及财务被接管或冻结情况的。</w:t>
      </w:r>
    </w:p>
    <w:p w14:paraId="3924594A">
      <w:pPr>
        <w:spacing w:line="360" w:lineRule="auto"/>
        <w:ind w:firstLine="420" w:firstLineChars="200"/>
        <w:rPr>
          <w:rFonts w:ascii="宋体" w:hAnsi="宋体"/>
          <w:color w:val="000000"/>
          <w:szCs w:val="21"/>
          <w:highlight w:val="none"/>
        </w:rPr>
      </w:pPr>
      <w:r>
        <w:rPr>
          <w:color w:val="000000"/>
          <w:szCs w:val="21"/>
          <w:highlight w:val="none"/>
        </w:rPr>
        <w:t>3</w:t>
      </w:r>
      <w:r>
        <w:rPr>
          <w:rFonts w:hint="eastAsia" w:ascii="宋体" w:hAnsi="宋体"/>
          <w:color w:val="000000"/>
          <w:szCs w:val="21"/>
          <w:highlight w:val="none"/>
        </w:rPr>
        <w:t>.因乙方原因，未按期交货一次以上；或未按招标文件、投标文件及合同规定履行服务承诺一次以上；</w:t>
      </w:r>
    </w:p>
    <w:p w14:paraId="26BFE13D">
      <w:pPr>
        <w:spacing w:line="360" w:lineRule="auto"/>
        <w:ind w:firstLine="420" w:firstLineChars="200"/>
        <w:rPr>
          <w:rFonts w:ascii="宋体" w:hAnsi="宋体"/>
          <w:color w:val="000000"/>
          <w:szCs w:val="21"/>
          <w:highlight w:val="none"/>
        </w:rPr>
      </w:pPr>
      <w:r>
        <w:rPr>
          <w:color w:val="000000"/>
          <w:szCs w:val="21"/>
          <w:highlight w:val="none"/>
        </w:rPr>
        <w:t>4</w:t>
      </w:r>
      <w:r>
        <w:rPr>
          <w:rFonts w:hint="eastAsia" w:ascii="宋体" w:hAnsi="宋体"/>
          <w:color w:val="000000"/>
          <w:szCs w:val="21"/>
          <w:highlight w:val="none"/>
        </w:rPr>
        <w:t>.乙方完成交货订单未在规定时间内向甲方提交结算发票</w:t>
      </w:r>
      <w:r>
        <w:rPr>
          <w:color w:val="000000"/>
          <w:szCs w:val="21"/>
          <w:highlight w:val="none"/>
        </w:rPr>
        <w:t>2</w:t>
      </w:r>
      <w:r>
        <w:rPr>
          <w:rFonts w:hint="eastAsia" w:ascii="宋体" w:hAnsi="宋体"/>
          <w:color w:val="000000"/>
          <w:szCs w:val="21"/>
          <w:highlight w:val="none"/>
        </w:rPr>
        <w:t>次以上。</w:t>
      </w:r>
    </w:p>
    <w:p w14:paraId="1407BA5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十五、本合同的解除责任：本合同自甲方解除通知送达到乙方之日起解除，乙方应于本合同解除之日起</w:t>
      </w:r>
      <w:r>
        <w:rPr>
          <w:color w:val="000000"/>
          <w:szCs w:val="21"/>
          <w:highlight w:val="none"/>
        </w:rPr>
        <w:t>7</w:t>
      </w:r>
      <w:r>
        <w:rPr>
          <w:rFonts w:hint="eastAsia" w:ascii="宋体" w:hAnsi="宋体"/>
          <w:color w:val="000000"/>
          <w:szCs w:val="21"/>
          <w:highlight w:val="none"/>
        </w:rPr>
        <w:t>日内向甲方支付本合同总金额</w:t>
      </w:r>
      <w:r>
        <w:rPr>
          <w:color w:val="000000"/>
          <w:szCs w:val="21"/>
          <w:highlight w:val="none"/>
        </w:rPr>
        <w:t>20</w:t>
      </w:r>
      <w:r>
        <w:rPr>
          <w:rFonts w:hint="eastAsia" w:ascii="宋体" w:hAnsi="宋体"/>
          <w:color w:val="000000"/>
          <w:szCs w:val="21"/>
          <w:highlight w:val="none"/>
        </w:rPr>
        <w:t>％的违约金，如未能按期支付相关违约金等，乙方同意按两倍同期银行贷款利率向甲方支付此违约金的利息，甲方有权利以货款抵扣违约金及利息。解除通知的送达方式包括但不限于：书面手递送达、快递送达、电子邮件送达、短信送达等。送达地址为本合同列明的地址，自解除通知发出之日起</w:t>
      </w:r>
      <w:r>
        <w:rPr>
          <w:color w:val="000000"/>
          <w:szCs w:val="21"/>
          <w:highlight w:val="none"/>
        </w:rPr>
        <w:t>7</w:t>
      </w:r>
      <w:r>
        <w:rPr>
          <w:rFonts w:hint="eastAsia" w:ascii="宋体" w:hAnsi="宋体"/>
          <w:color w:val="000000"/>
          <w:szCs w:val="21"/>
          <w:highlight w:val="none"/>
        </w:rPr>
        <w:t>个自然日后视为送达。</w:t>
      </w:r>
    </w:p>
    <w:p w14:paraId="71C8FBFE">
      <w:pPr>
        <w:spacing w:line="360" w:lineRule="auto"/>
        <w:ind w:firstLine="411" w:firstLineChars="196"/>
        <w:rPr>
          <w:rFonts w:ascii="宋体" w:hAnsi="宋体"/>
          <w:color w:val="000000"/>
          <w:szCs w:val="21"/>
          <w:highlight w:val="none"/>
        </w:rPr>
      </w:pPr>
      <w:r>
        <w:rPr>
          <w:rFonts w:hint="eastAsia" w:ascii="宋体" w:hAnsi="宋体"/>
          <w:color w:val="000000"/>
          <w:szCs w:val="21"/>
          <w:highlight w:val="none"/>
        </w:rPr>
        <w:t>十六、违约责任：甲乙双方严格遵守本合同约定，若</w:t>
      </w:r>
      <w:r>
        <w:rPr>
          <w:rFonts w:ascii="宋体" w:hAnsi="宋体"/>
          <w:color w:val="000000"/>
          <w:szCs w:val="21"/>
          <w:highlight w:val="none"/>
        </w:rPr>
        <w:t>乙方违约，</w:t>
      </w:r>
      <w:r>
        <w:rPr>
          <w:rFonts w:hint="eastAsia" w:ascii="宋体" w:hAnsi="宋体"/>
          <w:color w:val="000000"/>
          <w:szCs w:val="21"/>
          <w:highlight w:val="none"/>
        </w:rPr>
        <w:t>甲方方有权要求乙方支付五万元违约金，乙方造成甲方损害的，并赔偿损失。</w:t>
      </w:r>
    </w:p>
    <w:p w14:paraId="36B9DEAA">
      <w:pPr>
        <w:spacing w:line="360" w:lineRule="auto"/>
        <w:ind w:firstLine="411" w:firstLineChars="196"/>
        <w:rPr>
          <w:rFonts w:ascii="宋体" w:hAnsi="宋体"/>
          <w:color w:val="000000"/>
          <w:szCs w:val="21"/>
          <w:highlight w:val="none"/>
        </w:rPr>
      </w:pPr>
      <w:r>
        <w:rPr>
          <w:rFonts w:hint="eastAsia" w:ascii="宋体" w:hAnsi="宋体"/>
          <w:color w:val="000000"/>
          <w:szCs w:val="21"/>
          <w:highlight w:val="none"/>
        </w:rPr>
        <w:t>十七、下列文件属本合同的依据和附件，具有同等的法律效力：</w:t>
      </w:r>
    </w:p>
    <w:p w14:paraId="25BA3CFA">
      <w:pPr>
        <w:spacing w:line="360" w:lineRule="auto"/>
        <w:ind w:firstLine="411" w:firstLineChars="196"/>
        <w:rPr>
          <w:rFonts w:ascii="宋体" w:hAnsi="宋体"/>
          <w:color w:val="000000"/>
          <w:szCs w:val="21"/>
          <w:highlight w:val="none"/>
        </w:rPr>
      </w:pPr>
      <w:r>
        <w:rPr>
          <w:color w:val="000000"/>
          <w:szCs w:val="21"/>
          <w:highlight w:val="none"/>
        </w:rPr>
        <w:t>18</w:t>
      </w:r>
      <w:r>
        <w:rPr>
          <w:rFonts w:hint="eastAsia" w:ascii="宋体" w:hAnsi="宋体"/>
          <w:color w:val="000000"/>
          <w:szCs w:val="21"/>
          <w:highlight w:val="none"/>
        </w:rPr>
        <w:t>.</w:t>
      </w:r>
      <w:r>
        <w:rPr>
          <w:color w:val="000000"/>
          <w:szCs w:val="21"/>
          <w:highlight w:val="none"/>
        </w:rPr>
        <w:t>1</w:t>
      </w:r>
      <w:r>
        <w:rPr>
          <w:rFonts w:hint="eastAsia" w:ascii="宋体" w:hAnsi="宋体"/>
          <w:color w:val="000000"/>
          <w:szCs w:val="21"/>
          <w:highlight w:val="none"/>
        </w:rPr>
        <w:t>在采购或合同履行过程中乙方作出的承诺以及双方协商达成的变更或补充协议</w:t>
      </w:r>
    </w:p>
    <w:p w14:paraId="15835EBC">
      <w:pPr>
        <w:spacing w:line="360" w:lineRule="auto"/>
        <w:ind w:firstLine="411" w:firstLineChars="196"/>
        <w:rPr>
          <w:rFonts w:ascii="宋体" w:hAnsi="宋体"/>
          <w:color w:val="000000"/>
          <w:szCs w:val="21"/>
          <w:highlight w:val="none"/>
        </w:rPr>
      </w:pPr>
      <w:r>
        <w:rPr>
          <w:color w:val="000000"/>
          <w:szCs w:val="21"/>
          <w:highlight w:val="none"/>
        </w:rPr>
        <w:t>18</w:t>
      </w:r>
      <w:r>
        <w:rPr>
          <w:rFonts w:hint="eastAsia" w:ascii="宋体" w:hAnsi="宋体"/>
          <w:color w:val="000000"/>
          <w:szCs w:val="21"/>
          <w:highlight w:val="none"/>
        </w:rPr>
        <w:t>.</w:t>
      </w:r>
      <w:r>
        <w:rPr>
          <w:color w:val="000000"/>
          <w:szCs w:val="21"/>
          <w:highlight w:val="none"/>
        </w:rPr>
        <w:t>2</w:t>
      </w:r>
      <w:r>
        <w:rPr>
          <w:rFonts w:hint="eastAsia" w:ascii="宋体" w:hAnsi="宋体"/>
          <w:color w:val="000000"/>
          <w:szCs w:val="21"/>
          <w:highlight w:val="none"/>
        </w:rPr>
        <w:t>招标（采购）文件</w:t>
      </w:r>
    </w:p>
    <w:p w14:paraId="2051BB12">
      <w:pPr>
        <w:spacing w:line="360" w:lineRule="auto"/>
        <w:ind w:firstLine="411" w:firstLineChars="196"/>
        <w:rPr>
          <w:rFonts w:ascii="宋体" w:hAnsi="宋体"/>
          <w:color w:val="000000"/>
          <w:szCs w:val="21"/>
          <w:highlight w:val="none"/>
        </w:rPr>
      </w:pPr>
      <w:r>
        <w:rPr>
          <w:color w:val="000000"/>
          <w:szCs w:val="21"/>
          <w:highlight w:val="none"/>
        </w:rPr>
        <w:t>18</w:t>
      </w:r>
      <w:r>
        <w:rPr>
          <w:rFonts w:hint="eastAsia" w:ascii="宋体" w:hAnsi="宋体"/>
          <w:color w:val="000000"/>
          <w:szCs w:val="21"/>
          <w:highlight w:val="none"/>
        </w:rPr>
        <w:t>.</w:t>
      </w:r>
      <w:r>
        <w:rPr>
          <w:color w:val="000000"/>
          <w:szCs w:val="21"/>
          <w:highlight w:val="none"/>
        </w:rPr>
        <w:t>3</w:t>
      </w:r>
      <w:r>
        <w:rPr>
          <w:rFonts w:hint="eastAsia" w:ascii="宋体" w:hAnsi="宋体"/>
          <w:color w:val="000000"/>
          <w:szCs w:val="21"/>
          <w:highlight w:val="none"/>
        </w:rPr>
        <w:t>投标文件</w:t>
      </w:r>
    </w:p>
    <w:p w14:paraId="7AA72DD7">
      <w:pPr>
        <w:spacing w:line="360" w:lineRule="auto"/>
        <w:ind w:firstLine="411" w:firstLineChars="196"/>
        <w:rPr>
          <w:rFonts w:ascii="宋体" w:hAnsi="宋体"/>
          <w:color w:val="000000"/>
          <w:szCs w:val="21"/>
          <w:highlight w:val="none"/>
        </w:rPr>
      </w:pPr>
      <w:r>
        <w:rPr>
          <w:color w:val="000000"/>
          <w:szCs w:val="21"/>
          <w:highlight w:val="none"/>
        </w:rPr>
        <w:t>18</w:t>
      </w:r>
      <w:r>
        <w:rPr>
          <w:rFonts w:hint="eastAsia" w:ascii="宋体" w:hAnsi="宋体"/>
          <w:color w:val="000000"/>
          <w:szCs w:val="21"/>
          <w:highlight w:val="none"/>
        </w:rPr>
        <w:t>.</w:t>
      </w:r>
      <w:r>
        <w:rPr>
          <w:color w:val="000000"/>
          <w:szCs w:val="21"/>
          <w:highlight w:val="none"/>
        </w:rPr>
        <w:t>4</w:t>
      </w:r>
      <w:r>
        <w:rPr>
          <w:rFonts w:hint="eastAsia" w:ascii="宋体" w:hAnsi="宋体"/>
          <w:color w:val="000000"/>
          <w:szCs w:val="21"/>
          <w:highlight w:val="none"/>
        </w:rPr>
        <w:t>入围目录清单</w:t>
      </w:r>
    </w:p>
    <w:p w14:paraId="61EE2B4E">
      <w:pPr>
        <w:spacing w:line="360" w:lineRule="auto"/>
        <w:ind w:firstLine="411" w:firstLineChars="196"/>
        <w:rPr>
          <w:rFonts w:ascii="宋体" w:hAnsi="宋体"/>
          <w:color w:val="000000"/>
          <w:szCs w:val="21"/>
          <w:highlight w:val="none"/>
        </w:rPr>
      </w:pPr>
      <w:r>
        <w:rPr>
          <w:rFonts w:hint="eastAsia" w:ascii="宋体" w:hAnsi="宋体"/>
          <w:color w:val="000000"/>
          <w:szCs w:val="21"/>
          <w:highlight w:val="none"/>
        </w:rPr>
        <w:t>十八、本合同一式</w:t>
      </w:r>
      <w:r>
        <w:rPr>
          <w:rFonts w:hint="eastAsia" w:ascii="宋体" w:hAnsi="宋体"/>
          <w:color w:val="000000"/>
          <w:szCs w:val="21"/>
          <w:highlight w:val="none"/>
          <w:u w:val="single"/>
        </w:rPr>
        <w:t xml:space="preserve"> 四 </w:t>
      </w:r>
      <w:r>
        <w:rPr>
          <w:rFonts w:hint="eastAsia" w:ascii="宋体" w:hAnsi="宋体"/>
          <w:color w:val="000000"/>
          <w:szCs w:val="21"/>
          <w:highlight w:val="none"/>
        </w:rPr>
        <w:t>份，甲方执</w:t>
      </w:r>
      <w:r>
        <w:rPr>
          <w:rFonts w:hint="eastAsia" w:ascii="宋体" w:hAnsi="宋体"/>
          <w:color w:val="000000"/>
          <w:szCs w:val="21"/>
          <w:highlight w:val="none"/>
          <w:u w:val="single"/>
        </w:rPr>
        <w:t xml:space="preserve"> 两 </w:t>
      </w:r>
      <w:r>
        <w:rPr>
          <w:rFonts w:hint="eastAsia" w:ascii="宋体" w:hAnsi="宋体"/>
          <w:color w:val="000000"/>
          <w:szCs w:val="21"/>
          <w:highlight w:val="none"/>
        </w:rPr>
        <w:t>份，乙方执</w:t>
      </w:r>
      <w:r>
        <w:rPr>
          <w:rFonts w:hint="eastAsia" w:ascii="宋体" w:hAnsi="宋体"/>
          <w:color w:val="000000"/>
          <w:szCs w:val="21"/>
          <w:highlight w:val="none"/>
          <w:u w:val="single"/>
        </w:rPr>
        <w:t xml:space="preserve"> 两 </w:t>
      </w:r>
      <w:r>
        <w:rPr>
          <w:rFonts w:hint="eastAsia" w:ascii="宋体" w:hAnsi="宋体"/>
          <w:color w:val="000000"/>
          <w:szCs w:val="21"/>
          <w:highlight w:val="none"/>
        </w:rPr>
        <w:t>份。经双方法定代表人签字或双方单位盖章后生效。</w:t>
      </w:r>
    </w:p>
    <w:p w14:paraId="4B476717">
      <w:pPr>
        <w:spacing w:line="360" w:lineRule="auto"/>
        <w:ind w:firstLine="411" w:firstLineChars="196"/>
        <w:rPr>
          <w:rFonts w:ascii="宋体" w:hAnsi="宋体"/>
          <w:color w:val="000000"/>
          <w:szCs w:val="21"/>
          <w:highlight w:val="none"/>
        </w:rPr>
      </w:pPr>
    </w:p>
    <w:p w14:paraId="21002519">
      <w:pPr>
        <w:spacing w:line="360" w:lineRule="auto"/>
        <w:ind w:firstLine="411" w:firstLineChars="196"/>
        <w:rPr>
          <w:rFonts w:ascii="宋体" w:hAnsi="宋体"/>
          <w:color w:val="000000"/>
          <w:szCs w:val="21"/>
          <w:highlight w:val="none"/>
        </w:rPr>
      </w:pPr>
    </w:p>
    <w:p w14:paraId="076192A1">
      <w:pPr>
        <w:spacing w:line="360" w:lineRule="auto"/>
        <w:ind w:firstLine="411" w:firstLineChars="196"/>
        <w:rPr>
          <w:rFonts w:ascii="宋体" w:hAnsi="宋体"/>
          <w:color w:val="000000"/>
          <w:szCs w:val="21"/>
          <w:highlight w:val="none"/>
        </w:rPr>
      </w:pPr>
    </w:p>
    <w:tbl>
      <w:tblPr>
        <w:tblStyle w:val="36"/>
        <w:tblW w:w="0" w:type="auto"/>
        <w:tblInd w:w="-216" w:type="dxa"/>
        <w:tblLayout w:type="autofit"/>
        <w:tblCellMar>
          <w:top w:w="0" w:type="dxa"/>
          <w:left w:w="108" w:type="dxa"/>
          <w:bottom w:w="0" w:type="dxa"/>
          <w:right w:w="108" w:type="dxa"/>
        </w:tblCellMar>
      </w:tblPr>
      <w:tblGrid>
        <w:gridCol w:w="1287"/>
        <w:gridCol w:w="2781"/>
        <w:gridCol w:w="2304"/>
        <w:gridCol w:w="2372"/>
      </w:tblGrid>
      <w:tr w14:paraId="5486178D">
        <w:tblPrEx>
          <w:tblCellMar>
            <w:top w:w="0" w:type="dxa"/>
            <w:left w:w="108" w:type="dxa"/>
            <w:bottom w:w="0" w:type="dxa"/>
            <w:right w:w="108" w:type="dxa"/>
          </w:tblCellMar>
        </w:tblPrEx>
        <w:trPr>
          <w:trHeight w:val="1134" w:hRule="atLeast"/>
        </w:trPr>
        <w:tc>
          <w:tcPr>
            <w:tcW w:w="1384" w:type="dxa"/>
            <w:noWrap w:val="0"/>
            <w:vAlign w:val="top"/>
          </w:tcPr>
          <w:p w14:paraId="567AE91F">
            <w:pPr>
              <w:spacing w:line="360" w:lineRule="auto"/>
              <w:rPr>
                <w:rFonts w:ascii="宋体" w:hAnsi="宋体"/>
                <w:color w:val="000000"/>
                <w:szCs w:val="21"/>
                <w:highlight w:val="none"/>
              </w:rPr>
            </w:pPr>
            <w:r>
              <w:rPr>
                <w:rFonts w:hint="eastAsia" w:ascii="宋体" w:hAnsi="宋体"/>
                <w:color w:val="000000"/>
                <w:szCs w:val="21"/>
                <w:highlight w:val="none"/>
              </w:rPr>
              <w:t xml:space="preserve">甲方： </w:t>
            </w:r>
          </w:p>
        </w:tc>
        <w:tc>
          <w:tcPr>
            <w:tcW w:w="2835" w:type="dxa"/>
            <w:noWrap w:val="0"/>
            <w:vAlign w:val="top"/>
          </w:tcPr>
          <w:p w14:paraId="6943324B">
            <w:pPr>
              <w:spacing w:line="360" w:lineRule="auto"/>
              <w:ind w:right="420" w:firstLine="1365" w:firstLineChars="650"/>
              <w:rPr>
                <w:rFonts w:ascii="宋体" w:hAnsi="宋体"/>
                <w:color w:val="000000"/>
                <w:szCs w:val="21"/>
                <w:highlight w:val="none"/>
              </w:rPr>
            </w:pPr>
            <w:r>
              <w:rPr>
                <w:rFonts w:hint="eastAsia" w:ascii="宋体" w:hAnsi="宋体"/>
                <w:color w:val="000000"/>
                <w:szCs w:val="21"/>
                <w:highlight w:val="none"/>
              </w:rPr>
              <w:t>（公章）</w:t>
            </w:r>
          </w:p>
        </w:tc>
        <w:tc>
          <w:tcPr>
            <w:tcW w:w="2552" w:type="dxa"/>
            <w:noWrap w:val="0"/>
            <w:vAlign w:val="top"/>
          </w:tcPr>
          <w:p w14:paraId="77B077DC">
            <w:pPr>
              <w:spacing w:line="360" w:lineRule="auto"/>
              <w:rPr>
                <w:rFonts w:ascii="宋体" w:hAnsi="宋体"/>
                <w:color w:val="000000"/>
                <w:szCs w:val="21"/>
                <w:highlight w:val="none"/>
              </w:rPr>
            </w:pPr>
            <w:r>
              <w:rPr>
                <w:rFonts w:hint="eastAsia" w:ascii="宋体" w:hAnsi="宋体"/>
                <w:color w:val="000000"/>
                <w:szCs w:val="21"/>
                <w:highlight w:val="none"/>
              </w:rPr>
              <w:t xml:space="preserve">乙方： </w:t>
            </w:r>
          </w:p>
        </w:tc>
        <w:tc>
          <w:tcPr>
            <w:tcW w:w="2629" w:type="dxa"/>
            <w:noWrap w:val="0"/>
            <w:vAlign w:val="top"/>
          </w:tcPr>
          <w:p w14:paraId="470B9E5E">
            <w:pPr>
              <w:spacing w:line="360" w:lineRule="auto"/>
              <w:jc w:val="right"/>
              <w:rPr>
                <w:rFonts w:ascii="宋体" w:hAnsi="宋体"/>
                <w:color w:val="000000"/>
                <w:szCs w:val="21"/>
                <w:highlight w:val="none"/>
              </w:rPr>
            </w:pPr>
            <w:r>
              <w:rPr>
                <w:rFonts w:hint="eastAsia" w:ascii="宋体" w:hAnsi="宋体"/>
                <w:color w:val="000000"/>
                <w:szCs w:val="21"/>
                <w:highlight w:val="none"/>
              </w:rPr>
              <w:t>（公章）</w:t>
            </w:r>
          </w:p>
        </w:tc>
      </w:tr>
      <w:tr w14:paraId="599BA9D4">
        <w:tblPrEx>
          <w:tblCellMar>
            <w:top w:w="0" w:type="dxa"/>
            <w:left w:w="108" w:type="dxa"/>
            <w:bottom w:w="0" w:type="dxa"/>
            <w:right w:w="108" w:type="dxa"/>
          </w:tblCellMar>
        </w:tblPrEx>
        <w:trPr>
          <w:trHeight w:val="1134" w:hRule="atLeast"/>
        </w:trPr>
        <w:tc>
          <w:tcPr>
            <w:tcW w:w="1384" w:type="dxa"/>
            <w:noWrap w:val="0"/>
            <w:vAlign w:val="top"/>
          </w:tcPr>
          <w:p w14:paraId="6C0C220E">
            <w:pPr>
              <w:spacing w:line="360" w:lineRule="auto"/>
              <w:rPr>
                <w:rFonts w:ascii="宋体" w:hAnsi="宋体"/>
                <w:color w:val="000000"/>
                <w:szCs w:val="21"/>
                <w:highlight w:val="none"/>
              </w:rPr>
            </w:pPr>
            <w:r>
              <w:rPr>
                <w:rFonts w:hint="eastAsia" w:ascii="宋体" w:hAnsi="宋体"/>
                <w:color w:val="000000"/>
                <w:szCs w:val="21"/>
                <w:highlight w:val="none"/>
              </w:rPr>
              <w:t xml:space="preserve">法定代表人： </w:t>
            </w:r>
          </w:p>
        </w:tc>
        <w:tc>
          <w:tcPr>
            <w:tcW w:w="2835" w:type="dxa"/>
            <w:noWrap w:val="0"/>
            <w:vAlign w:val="top"/>
          </w:tcPr>
          <w:p w14:paraId="0B98AAC1">
            <w:pPr>
              <w:spacing w:line="360" w:lineRule="auto"/>
              <w:jc w:val="right"/>
              <w:rPr>
                <w:rFonts w:ascii="宋体" w:hAnsi="宋体"/>
                <w:color w:val="000000"/>
                <w:szCs w:val="21"/>
                <w:highlight w:val="none"/>
              </w:rPr>
            </w:pPr>
            <w:r>
              <w:rPr>
                <w:rFonts w:hint="eastAsia" w:ascii="宋体" w:hAnsi="宋体"/>
                <w:color w:val="000000"/>
                <w:szCs w:val="21"/>
                <w:highlight w:val="none"/>
              </w:rPr>
              <w:t>（签字或盖章）</w:t>
            </w:r>
          </w:p>
        </w:tc>
        <w:tc>
          <w:tcPr>
            <w:tcW w:w="2552" w:type="dxa"/>
            <w:noWrap w:val="0"/>
            <w:vAlign w:val="top"/>
          </w:tcPr>
          <w:p w14:paraId="01A17134">
            <w:pPr>
              <w:spacing w:line="360" w:lineRule="auto"/>
              <w:rPr>
                <w:rFonts w:ascii="宋体" w:hAnsi="宋体"/>
                <w:color w:val="000000"/>
                <w:szCs w:val="21"/>
                <w:highlight w:val="none"/>
              </w:rPr>
            </w:pPr>
            <w:r>
              <w:rPr>
                <w:rFonts w:hint="eastAsia" w:ascii="宋体" w:hAnsi="宋体"/>
                <w:color w:val="000000"/>
                <w:szCs w:val="21"/>
                <w:highlight w:val="none"/>
              </w:rPr>
              <w:t xml:space="preserve">法定代表人/委托代理人： </w:t>
            </w:r>
          </w:p>
        </w:tc>
        <w:tc>
          <w:tcPr>
            <w:tcW w:w="2629" w:type="dxa"/>
            <w:noWrap w:val="0"/>
            <w:vAlign w:val="top"/>
          </w:tcPr>
          <w:p w14:paraId="7525DD59">
            <w:pPr>
              <w:spacing w:line="360" w:lineRule="auto"/>
              <w:jc w:val="right"/>
              <w:rPr>
                <w:rFonts w:ascii="宋体" w:hAnsi="宋体"/>
                <w:color w:val="000000"/>
                <w:szCs w:val="21"/>
                <w:highlight w:val="none"/>
              </w:rPr>
            </w:pPr>
            <w:r>
              <w:rPr>
                <w:rFonts w:hint="eastAsia" w:ascii="宋体" w:hAnsi="宋体"/>
                <w:color w:val="000000"/>
                <w:szCs w:val="21"/>
                <w:highlight w:val="none"/>
              </w:rPr>
              <w:t>（签字）</w:t>
            </w:r>
          </w:p>
        </w:tc>
      </w:tr>
      <w:tr w14:paraId="71664831">
        <w:tblPrEx>
          <w:tblCellMar>
            <w:top w:w="0" w:type="dxa"/>
            <w:left w:w="108" w:type="dxa"/>
            <w:bottom w:w="0" w:type="dxa"/>
            <w:right w:w="108" w:type="dxa"/>
          </w:tblCellMar>
        </w:tblPrEx>
        <w:trPr>
          <w:trHeight w:val="1134" w:hRule="atLeast"/>
        </w:trPr>
        <w:tc>
          <w:tcPr>
            <w:tcW w:w="1384" w:type="dxa"/>
            <w:noWrap w:val="0"/>
            <w:vAlign w:val="top"/>
          </w:tcPr>
          <w:p w14:paraId="691A0037">
            <w:pPr>
              <w:spacing w:line="360" w:lineRule="auto"/>
              <w:rPr>
                <w:rFonts w:ascii="宋体" w:hAnsi="宋体"/>
                <w:color w:val="000000"/>
                <w:szCs w:val="21"/>
                <w:highlight w:val="none"/>
              </w:rPr>
            </w:pPr>
            <w:r>
              <w:rPr>
                <w:rFonts w:hint="eastAsia" w:ascii="宋体" w:hAnsi="宋体"/>
                <w:color w:val="000000"/>
                <w:szCs w:val="21"/>
                <w:highlight w:val="none"/>
              </w:rPr>
              <w:t>日期：</w:t>
            </w:r>
          </w:p>
        </w:tc>
        <w:tc>
          <w:tcPr>
            <w:tcW w:w="2835" w:type="dxa"/>
            <w:noWrap w:val="0"/>
            <w:vAlign w:val="top"/>
          </w:tcPr>
          <w:p w14:paraId="2BC5577E">
            <w:pPr>
              <w:wordWrap w:val="0"/>
              <w:spacing w:line="360" w:lineRule="auto"/>
              <w:jc w:val="right"/>
              <w:rPr>
                <w:rFonts w:ascii="宋体" w:hAnsi="宋体"/>
                <w:color w:val="000000"/>
                <w:szCs w:val="21"/>
                <w:highlight w:val="none"/>
              </w:rPr>
            </w:pPr>
            <w:r>
              <w:rPr>
                <w:rFonts w:hint="eastAsia" w:ascii="宋体" w:hAnsi="宋体"/>
                <w:color w:val="000000"/>
                <w:szCs w:val="21"/>
                <w:highlight w:val="none"/>
              </w:rPr>
              <w:t>年      月     日</w:t>
            </w:r>
          </w:p>
        </w:tc>
        <w:tc>
          <w:tcPr>
            <w:tcW w:w="2552" w:type="dxa"/>
            <w:noWrap w:val="0"/>
            <w:vAlign w:val="top"/>
          </w:tcPr>
          <w:p w14:paraId="594B460D">
            <w:pPr>
              <w:spacing w:line="360" w:lineRule="auto"/>
              <w:rPr>
                <w:rFonts w:ascii="宋体" w:hAnsi="宋体"/>
                <w:color w:val="000000"/>
                <w:szCs w:val="21"/>
                <w:highlight w:val="none"/>
              </w:rPr>
            </w:pPr>
            <w:r>
              <w:rPr>
                <w:rFonts w:hint="eastAsia" w:ascii="宋体" w:hAnsi="宋体"/>
                <w:color w:val="000000"/>
                <w:szCs w:val="21"/>
                <w:highlight w:val="none"/>
              </w:rPr>
              <w:t>日期：</w:t>
            </w:r>
          </w:p>
        </w:tc>
        <w:tc>
          <w:tcPr>
            <w:tcW w:w="2629" w:type="dxa"/>
            <w:noWrap w:val="0"/>
            <w:vAlign w:val="top"/>
          </w:tcPr>
          <w:p w14:paraId="637450CD">
            <w:pPr>
              <w:wordWrap w:val="0"/>
              <w:spacing w:line="360" w:lineRule="auto"/>
              <w:jc w:val="right"/>
              <w:rPr>
                <w:rFonts w:ascii="宋体" w:hAnsi="宋体"/>
                <w:color w:val="000000"/>
                <w:szCs w:val="21"/>
                <w:highlight w:val="none"/>
              </w:rPr>
            </w:pPr>
            <w:r>
              <w:rPr>
                <w:rFonts w:hint="eastAsia" w:ascii="宋体" w:hAnsi="宋体"/>
                <w:color w:val="000000"/>
                <w:szCs w:val="21"/>
                <w:highlight w:val="none"/>
              </w:rPr>
              <w:t>年      月     日</w:t>
            </w:r>
          </w:p>
        </w:tc>
      </w:tr>
    </w:tbl>
    <w:p w14:paraId="6C075C92">
      <w:pPr>
        <w:spacing w:line="360" w:lineRule="auto"/>
        <w:rPr>
          <w:rFonts w:ascii="宋体" w:hAnsi="宋体"/>
          <w:color w:val="000000"/>
          <w:szCs w:val="21"/>
          <w:highlight w:val="none"/>
        </w:rPr>
      </w:pPr>
    </w:p>
    <w:p w14:paraId="0DB6D8C1">
      <w:pPr>
        <w:spacing w:line="540" w:lineRule="exact"/>
        <w:rPr>
          <w:rFonts w:ascii="宋体" w:hAnsi="宋体" w:cs="宋体"/>
          <w:b/>
          <w:color w:val="000000"/>
          <w:szCs w:val="21"/>
          <w:highlight w:val="none"/>
        </w:rPr>
      </w:pPr>
      <w:r>
        <w:rPr>
          <w:rFonts w:hint="eastAsia" w:ascii="宋体" w:hAnsi="宋体" w:cs="宋体"/>
          <w:b/>
          <w:color w:val="000000"/>
          <w:szCs w:val="21"/>
          <w:highlight w:val="none"/>
        </w:rPr>
        <w:t>附件</w:t>
      </w:r>
      <w:r>
        <w:rPr>
          <w:b/>
          <w:color w:val="000000"/>
          <w:szCs w:val="21"/>
          <w:highlight w:val="none"/>
        </w:rPr>
        <w:t>1</w:t>
      </w:r>
      <w:r>
        <w:rPr>
          <w:rFonts w:ascii="宋体" w:hAnsi="宋体" w:cs="宋体"/>
          <w:b/>
          <w:color w:val="000000"/>
          <w:szCs w:val="21"/>
          <w:highlight w:val="none"/>
        </w:rPr>
        <w:t>：</w:t>
      </w:r>
    </w:p>
    <w:p w14:paraId="7C2264D5">
      <w:pPr>
        <w:spacing w:line="540" w:lineRule="exact"/>
        <w:jc w:val="center"/>
        <w:rPr>
          <w:rFonts w:ascii="宋体" w:hAnsi="宋体" w:cs="宋体"/>
          <w:b/>
          <w:color w:val="000000"/>
          <w:szCs w:val="21"/>
          <w:highlight w:val="none"/>
        </w:rPr>
      </w:pPr>
      <w:r>
        <w:rPr>
          <w:rFonts w:hint="eastAsia" w:ascii="宋体" w:hAnsi="宋体" w:cs="宋体"/>
          <w:b/>
          <w:color w:val="000000"/>
          <w:szCs w:val="21"/>
          <w:highlight w:val="none"/>
        </w:rPr>
        <w:t>入围目录清单</w:t>
      </w:r>
    </w:p>
    <w:tbl>
      <w:tblPr>
        <w:tblStyle w:val="36"/>
        <w:tblW w:w="53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81"/>
        <w:gridCol w:w="801"/>
        <w:gridCol w:w="920"/>
        <w:gridCol w:w="681"/>
        <w:gridCol w:w="442"/>
        <w:gridCol w:w="442"/>
        <w:gridCol w:w="625"/>
        <w:gridCol w:w="1218"/>
        <w:gridCol w:w="679"/>
        <w:gridCol w:w="677"/>
        <w:gridCol w:w="585"/>
        <w:gridCol w:w="714"/>
      </w:tblGrid>
      <w:tr w14:paraId="3B80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72" w:type="pct"/>
            <w:noWrap/>
            <w:vAlign w:val="center"/>
          </w:tcPr>
          <w:p w14:paraId="60E3ACB1">
            <w:pPr>
              <w:jc w:val="center"/>
              <w:rPr>
                <w:rFonts w:hint="eastAsia" w:eastAsia="宋体"/>
                <w:color w:val="000000"/>
                <w:highlight w:val="none"/>
                <w:lang w:eastAsia="zh-CN"/>
              </w:rPr>
            </w:pPr>
            <w:r>
              <w:rPr>
                <w:rFonts w:hint="eastAsia"/>
                <w:color w:val="000000"/>
                <w:highlight w:val="none"/>
                <w:lang w:eastAsia="zh-CN"/>
              </w:rPr>
              <w:t>包号</w:t>
            </w:r>
          </w:p>
        </w:tc>
        <w:tc>
          <w:tcPr>
            <w:tcW w:w="372" w:type="pct"/>
            <w:noWrap/>
            <w:vAlign w:val="center"/>
          </w:tcPr>
          <w:p w14:paraId="6EE5F0EC">
            <w:pPr>
              <w:jc w:val="center"/>
              <w:rPr>
                <w:color w:val="000000"/>
                <w:highlight w:val="none"/>
              </w:rPr>
            </w:pPr>
            <w:r>
              <w:rPr>
                <w:rFonts w:hint="eastAsia"/>
                <w:color w:val="000000"/>
                <w:highlight w:val="none"/>
              </w:rPr>
              <w:t>目录名称</w:t>
            </w:r>
          </w:p>
        </w:tc>
        <w:tc>
          <w:tcPr>
            <w:tcW w:w="438" w:type="pct"/>
            <w:noWrap/>
            <w:vAlign w:val="center"/>
          </w:tcPr>
          <w:p w14:paraId="6623829D">
            <w:pPr>
              <w:jc w:val="center"/>
              <w:rPr>
                <w:color w:val="000000"/>
                <w:highlight w:val="none"/>
              </w:rPr>
            </w:pPr>
            <w:r>
              <w:rPr>
                <w:rFonts w:hint="eastAsia"/>
                <w:color w:val="000000"/>
                <w:highlight w:val="none"/>
              </w:rPr>
              <w:t>供应商名称</w:t>
            </w:r>
          </w:p>
        </w:tc>
        <w:tc>
          <w:tcPr>
            <w:tcW w:w="503" w:type="pct"/>
            <w:noWrap/>
            <w:vAlign w:val="center"/>
          </w:tcPr>
          <w:p w14:paraId="48D49DBA">
            <w:pPr>
              <w:jc w:val="center"/>
              <w:rPr>
                <w:color w:val="000000"/>
                <w:highlight w:val="none"/>
              </w:rPr>
            </w:pPr>
            <w:r>
              <w:rPr>
                <w:rFonts w:hint="eastAsia"/>
                <w:color w:val="000000"/>
                <w:highlight w:val="none"/>
              </w:rPr>
              <w:t>产品注册名称</w:t>
            </w:r>
          </w:p>
        </w:tc>
        <w:tc>
          <w:tcPr>
            <w:tcW w:w="372" w:type="pct"/>
            <w:noWrap/>
            <w:vAlign w:val="center"/>
          </w:tcPr>
          <w:p w14:paraId="703D9B43">
            <w:pPr>
              <w:jc w:val="center"/>
              <w:rPr>
                <w:color w:val="000000"/>
                <w:highlight w:val="none"/>
              </w:rPr>
            </w:pPr>
            <w:r>
              <w:rPr>
                <w:rFonts w:hint="eastAsia"/>
                <w:color w:val="000000"/>
                <w:highlight w:val="none"/>
              </w:rPr>
              <w:t>注册证号</w:t>
            </w:r>
          </w:p>
        </w:tc>
        <w:tc>
          <w:tcPr>
            <w:tcW w:w="242" w:type="pct"/>
            <w:noWrap/>
            <w:vAlign w:val="center"/>
          </w:tcPr>
          <w:p w14:paraId="0D628DE4">
            <w:pPr>
              <w:jc w:val="center"/>
              <w:rPr>
                <w:color w:val="000000"/>
                <w:highlight w:val="none"/>
              </w:rPr>
            </w:pPr>
            <w:r>
              <w:rPr>
                <w:rFonts w:hint="eastAsia"/>
                <w:color w:val="000000"/>
                <w:highlight w:val="none"/>
              </w:rPr>
              <w:t>规格</w:t>
            </w:r>
          </w:p>
        </w:tc>
        <w:tc>
          <w:tcPr>
            <w:tcW w:w="242" w:type="pct"/>
            <w:noWrap/>
            <w:vAlign w:val="center"/>
          </w:tcPr>
          <w:p w14:paraId="32A86A87">
            <w:pPr>
              <w:jc w:val="center"/>
              <w:rPr>
                <w:color w:val="000000"/>
                <w:highlight w:val="none"/>
              </w:rPr>
            </w:pPr>
            <w:r>
              <w:rPr>
                <w:rFonts w:hint="eastAsia"/>
                <w:color w:val="000000"/>
                <w:highlight w:val="none"/>
              </w:rPr>
              <w:t>型号</w:t>
            </w:r>
          </w:p>
        </w:tc>
        <w:tc>
          <w:tcPr>
            <w:tcW w:w="342" w:type="pct"/>
            <w:noWrap/>
            <w:vAlign w:val="center"/>
          </w:tcPr>
          <w:p w14:paraId="22635149">
            <w:pPr>
              <w:jc w:val="center"/>
              <w:rPr>
                <w:rFonts w:hint="eastAsia"/>
                <w:color w:val="000000"/>
                <w:highlight w:val="none"/>
              </w:rPr>
            </w:pPr>
            <w:r>
              <w:rPr>
                <w:rFonts w:hint="eastAsia"/>
                <w:color w:val="000000"/>
                <w:highlight w:val="none"/>
              </w:rPr>
              <w:t>生产厂家</w:t>
            </w:r>
          </w:p>
        </w:tc>
        <w:tc>
          <w:tcPr>
            <w:tcW w:w="666" w:type="pct"/>
            <w:noWrap/>
            <w:vAlign w:val="center"/>
          </w:tcPr>
          <w:p w14:paraId="40FFECC4">
            <w:pPr>
              <w:jc w:val="center"/>
              <w:rPr>
                <w:rFonts w:hint="eastAsia"/>
                <w:color w:val="000000"/>
                <w:highlight w:val="none"/>
              </w:rPr>
            </w:pPr>
            <w:r>
              <w:rPr>
                <w:rFonts w:hint="eastAsia"/>
                <w:color w:val="000000"/>
                <w:highlight w:val="none"/>
              </w:rPr>
              <w:t>湖南省药品医药耗材招采管理子系统价格（元）</w:t>
            </w:r>
          </w:p>
        </w:tc>
        <w:tc>
          <w:tcPr>
            <w:tcW w:w="371" w:type="pct"/>
            <w:noWrap/>
            <w:vAlign w:val="center"/>
          </w:tcPr>
          <w:p w14:paraId="197E7B45">
            <w:pPr>
              <w:jc w:val="center"/>
              <w:rPr>
                <w:color w:val="000000"/>
                <w:highlight w:val="none"/>
              </w:rPr>
            </w:pPr>
            <w:r>
              <w:rPr>
                <w:rFonts w:hint="eastAsia"/>
                <w:color w:val="000000"/>
                <w:highlight w:val="none"/>
              </w:rPr>
              <w:t>挂网编码</w:t>
            </w:r>
          </w:p>
        </w:tc>
        <w:tc>
          <w:tcPr>
            <w:tcW w:w="370" w:type="pct"/>
            <w:noWrap/>
            <w:vAlign w:val="center"/>
          </w:tcPr>
          <w:p w14:paraId="0829D3EC">
            <w:pPr>
              <w:jc w:val="center"/>
              <w:rPr>
                <w:color w:val="000000"/>
                <w:highlight w:val="none"/>
              </w:rPr>
            </w:pPr>
            <w:r>
              <w:rPr>
                <w:rFonts w:hint="eastAsia"/>
                <w:color w:val="000000"/>
                <w:highlight w:val="none"/>
              </w:rPr>
              <w:t>成交价</w:t>
            </w:r>
          </w:p>
        </w:tc>
        <w:tc>
          <w:tcPr>
            <w:tcW w:w="320" w:type="pct"/>
            <w:noWrap w:val="0"/>
            <w:vAlign w:val="center"/>
          </w:tcPr>
          <w:p w14:paraId="4E7D5085">
            <w:pPr>
              <w:jc w:val="center"/>
              <w:rPr>
                <w:color w:val="000000"/>
                <w:highlight w:val="none"/>
              </w:rPr>
            </w:pPr>
            <w:r>
              <w:rPr>
                <w:color w:val="000000"/>
                <w:highlight w:val="none"/>
              </w:rPr>
              <w:t>27</w:t>
            </w:r>
            <w:r>
              <w:rPr>
                <w:rFonts w:hint="eastAsia"/>
                <w:color w:val="000000"/>
                <w:highlight w:val="none"/>
              </w:rPr>
              <w:t>位医保编码</w:t>
            </w:r>
          </w:p>
        </w:tc>
        <w:tc>
          <w:tcPr>
            <w:tcW w:w="392" w:type="pct"/>
            <w:noWrap w:val="0"/>
            <w:vAlign w:val="center"/>
          </w:tcPr>
          <w:p w14:paraId="05F918F5">
            <w:pPr>
              <w:jc w:val="center"/>
              <w:rPr>
                <w:rFonts w:hint="eastAsia"/>
                <w:color w:val="000000"/>
                <w:highlight w:val="none"/>
              </w:rPr>
            </w:pPr>
            <w:r>
              <w:rPr>
                <w:rFonts w:hint="eastAsia"/>
                <w:color w:val="000000"/>
                <w:highlight w:val="none"/>
              </w:rPr>
              <w:t>备注</w:t>
            </w:r>
          </w:p>
        </w:tc>
      </w:tr>
      <w:tr w14:paraId="0C56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72" w:type="pct"/>
            <w:noWrap/>
            <w:vAlign w:val="center"/>
          </w:tcPr>
          <w:p w14:paraId="40A0B30B">
            <w:pPr>
              <w:jc w:val="center"/>
              <w:rPr>
                <w:color w:val="000000"/>
                <w:highlight w:val="none"/>
              </w:rPr>
            </w:pPr>
          </w:p>
        </w:tc>
        <w:tc>
          <w:tcPr>
            <w:tcW w:w="372" w:type="pct"/>
            <w:noWrap/>
            <w:vAlign w:val="center"/>
          </w:tcPr>
          <w:p w14:paraId="53538483">
            <w:pPr>
              <w:jc w:val="center"/>
              <w:rPr>
                <w:color w:val="000000"/>
                <w:highlight w:val="none"/>
              </w:rPr>
            </w:pPr>
          </w:p>
        </w:tc>
        <w:tc>
          <w:tcPr>
            <w:tcW w:w="438" w:type="pct"/>
            <w:noWrap/>
            <w:vAlign w:val="center"/>
          </w:tcPr>
          <w:p w14:paraId="4F099E1C">
            <w:pPr>
              <w:jc w:val="center"/>
              <w:rPr>
                <w:color w:val="000000"/>
                <w:highlight w:val="none"/>
              </w:rPr>
            </w:pPr>
          </w:p>
        </w:tc>
        <w:tc>
          <w:tcPr>
            <w:tcW w:w="503" w:type="pct"/>
            <w:noWrap/>
            <w:vAlign w:val="center"/>
          </w:tcPr>
          <w:p w14:paraId="32DA345C">
            <w:pPr>
              <w:jc w:val="center"/>
              <w:rPr>
                <w:color w:val="000000"/>
                <w:highlight w:val="none"/>
              </w:rPr>
            </w:pPr>
          </w:p>
        </w:tc>
        <w:tc>
          <w:tcPr>
            <w:tcW w:w="372" w:type="pct"/>
            <w:noWrap/>
            <w:vAlign w:val="center"/>
          </w:tcPr>
          <w:p w14:paraId="2477F02A">
            <w:pPr>
              <w:jc w:val="center"/>
              <w:rPr>
                <w:color w:val="000000"/>
                <w:highlight w:val="none"/>
              </w:rPr>
            </w:pPr>
          </w:p>
        </w:tc>
        <w:tc>
          <w:tcPr>
            <w:tcW w:w="242" w:type="pct"/>
            <w:noWrap/>
            <w:vAlign w:val="center"/>
          </w:tcPr>
          <w:p w14:paraId="2FB28F46">
            <w:pPr>
              <w:jc w:val="center"/>
              <w:rPr>
                <w:color w:val="000000"/>
                <w:highlight w:val="none"/>
              </w:rPr>
            </w:pPr>
          </w:p>
        </w:tc>
        <w:tc>
          <w:tcPr>
            <w:tcW w:w="242" w:type="pct"/>
            <w:noWrap/>
            <w:vAlign w:val="center"/>
          </w:tcPr>
          <w:p w14:paraId="1B475710">
            <w:pPr>
              <w:jc w:val="center"/>
              <w:rPr>
                <w:color w:val="000000"/>
                <w:highlight w:val="none"/>
              </w:rPr>
            </w:pPr>
          </w:p>
        </w:tc>
        <w:tc>
          <w:tcPr>
            <w:tcW w:w="342" w:type="pct"/>
            <w:noWrap/>
            <w:vAlign w:val="center"/>
          </w:tcPr>
          <w:p w14:paraId="195FD934">
            <w:pPr>
              <w:jc w:val="center"/>
              <w:rPr>
                <w:color w:val="000000"/>
                <w:highlight w:val="none"/>
              </w:rPr>
            </w:pPr>
          </w:p>
        </w:tc>
        <w:tc>
          <w:tcPr>
            <w:tcW w:w="666" w:type="pct"/>
            <w:noWrap/>
            <w:vAlign w:val="center"/>
          </w:tcPr>
          <w:p w14:paraId="6A85F677">
            <w:pPr>
              <w:jc w:val="center"/>
              <w:rPr>
                <w:color w:val="000000"/>
                <w:highlight w:val="none"/>
              </w:rPr>
            </w:pPr>
          </w:p>
        </w:tc>
        <w:tc>
          <w:tcPr>
            <w:tcW w:w="371" w:type="pct"/>
            <w:noWrap/>
            <w:vAlign w:val="center"/>
          </w:tcPr>
          <w:p w14:paraId="2196764B">
            <w:pPr>
              <w:jc w:val="center"/>
              <w:rPr>
                <w:color w:val="000000"/>
                <w:highlight w:val="none"/>
              </w:rPr>
            </w:pPr>
          </w:p>
        </w:tc>
        <w:tc>
          <w:tcPr>
            <w:tcW w:w="370" w:type="pct"/>
            <w:noWrap/>
            <w:vAlign w:val="center"/>
          </w:tcPr>
          <w:p w14:paraId="379FC113">
            <w:pPr>
              <w:jc w:val="center"/>
              <w:rPr>
                <w:color w:val="000000"/>
                <w:highlight w:val="none"/>
              </w:rPr>
            </w:pPr>
          </w:p>
        </w:tc>
        <w:tc>
          <w:tcPr>
            <w:tcW w:w="320" w:type="pct"/>
            <w:noWrap w:val="0"/>
            <w:vAlign w:val="top"/>
          </w:tcPr>
          <w:p w14:paraId="37F418D2">
            <w:pPr>
              <w:jc w:val="center"/>
              <w:rPr>
                <w:color w:val="000000"/>
                <w:highlight w:val="none"/>
              </w:rPr>
            </w:pPr>
          </w:p>
        </w:tc>
        <w:tc>
          <w:tcPr>
            <w:tcW w:w="392" w:type="pct"/>
            <w:noWrap w:val="0"/>
            <w:vAlign w:val="top"/>
          </w:tcPr>
          <w:p w14:paraId="1026AD02">
            <w:pPr>
              <w:jc w:val="center"/>
              <w:rPr>
                <w:color w:val="000000"/>
                <w:highlight w:val="none"/>
              </w:rPr>
            </w:pPr>
          </w:p>
        </w:tc>
      </w:tr>
    </w:tbl>
    <w:p w14:paraId="6F076226">
      <w:pPr>
        <w:rPr>
          <w:highlight w:val="none"/>
        </w:rPr>
      </w:pPr>
    </w:p>
    <w:p w14:paraId="202164F6">
      <w:pPr>
        <w:jc w:val="left"/>
        <w:rPr>
          <w:rFonts w:hint="eastAsia" w:ascii="宋体" w:hAnsi="宋体" w:cs="宋体"/>
          <w:color w:val="000000" w:themeColor="text1"/>
          <w:sz w:val="24"/>
          <w:szCs w:val="24"/>
          <w:highlight w:val="none"/>
          <w14:textFill>
            <w14:solidFill>
              <w14:schemeClr w14:val="tx1"/>
            </w14:solidFill>
          </w14:textFill>
        </w:rPr>
      </w:pPr>
    </w:p>
    <w:bookmarkEnd w:id="52"/>
    <w:bookmarkEnd w:id="66"/>
    <w:bookmarkEnd w:id="67"/>
    <w:p w14:paraId="49DA8B9A">
      <w:pPr>
        <w:rPr>
          <w:rFonts w:hint="eastAsia" w:ascii="宋体" w:hAnsi="宋体"/>
          <w:b/>
          <w:color w:val="000000" w:themeColor="text1"/>
          <w:sz w:val="24"/>
          <w:szCs w:val="24"/>
          <w:highlight w:val="none"/>
          <w14:textFill>
            <w14:solidFill>
              <w14:schemeClr w14:val="tx1"/>
            </w14:solidFill>
          </w14:textFill>
        </w:rPr>
      </w:pPr>
      <w:bookmarkStart w:id="91" w:name="_Toc270281780"/>
      <w:bookmarkStart w:id="92" w:name="_Toc214353465"/>
      <w:bookmarkStart w:id="93" w:name="_Toc246213151"/>
      <w:r>
        <w:rPr>
          <w:rFonts w:hint="eastAsia" w:ascii="宋体" w:hAnsi="宋体"/>
          <w:b/>
          <w:color w:val="000000" w:themeColor="text1"/>
          <w:sz w:val="24"/>
          <w:szCs w:val="24"/>
          <w:highlight w:val="none"/>
          <w14:textFill>
            <w14:solidFill>
              <w14:schemeClr w14:val="tx1"/>
            </w14:solidFill>
          </w14:textFill>
        </w:rPr>
        <w:br w:type="page"/>
      </w:r>
    </w:p>
    <w:p w14:paraId="602A68A9">
      <w:pPr>
        <w:rPr>
          <w:rFonts w:hint="eastAsia" w:ascii="仿宋" w:hAnsi="仿宋" w:eastAsia="仿宋" w:cs="仿宋"/>
          <w:color w:val="000000" w:themeColor="text1"/>
          <w:highlight w:val="none"/>
          <w14:textFill>
            <w14:solidFill>
              <w14:schemeClr w14:val="tx1"/>
            </w14:solidFill>
          </w14:textFill>
        </w:rPr>
      </w:pPr>
    </w:p>
    <w:p w14:paraId="55FE13CE">
      <w:pPr>
        <w:spacing w:line="480" w:lineRule="auto"/>
        <w:jc w:val="center"/>
        <w:outlineLvl w:val="0"/>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94" w:name="_Toc10504"/>
      <w:bookmarkStart w:id="95" w:name="_Toc7741"/>
      <w:bookmarkStart w:id="96" w:name="_Toc3481"/>
      <w:bookmarkStart w:id="97" w:name="_Toc9934"/>
      <w:bookmarkStart w:id="98" w:name="_Toc18236"/>
      <w:bookmarkStart w:id="99" w:name="_Toc9402"/>
      <w:bookmarkStart w:id="100" w:name="_Toc12104"/>
      <w:r>
        <w:rPr>
          <w:rFonts w:hint="eastAsia" w:ascii="仿宋" w:hAnsi="仿宋" w:eastAsia="仿宋" w:cs="仿宋"/>
          <w:b/>
          <w:bCs/>
          <w:color w:val="000000" w:themeColor="text1"/>
          <w:kern w:val="0"/>
          <w:sz w:val="44"/>
          <w:szCs w:val="44"/>
          <w:highlight w:val="none"/>
          <w14:textFill>
            <w14:solidFill>
              <w14:schemeClr w14:val="tx1"/>
            </w14:solidFill>
          </w14:textFill>
        </w:rPr>
        <w:t>第</w:t>
      </w:r>
      <w:r>
        <w:rPr>
          <w:rFonts w:hint="eastAsia" w:ascii="仿宋" w:hAnsi="仿宋" w:eastAsia="仿宋" w:cs="仿宋"/>
          <w:b/>
          <w:bCs/>
          <w:color w:val="000000" w:themeColor="text1"/>
          <w:kern w:val="0"/>
          <w:sz w:val="44"/>
          <w:szCs w:val="44"/>
          <w:highlight w:val="none"/>
          <w:lang w:val="en-US" w:eastAsia="zh-CN"/>
          <w14:textFill>
            <w14:solidFill>
              <w14:schemeClr w14:val="tx1"/>
            </w14:solidFill>
          </w14:textFill>
        </w:rPr>
        <w:t>六</w:t>
      </w:r>
      <w:r>
        <w:rPr>
          <w:rFonts w:hint="eastAsia" w:ascii="仿宋" w:hAnsi="仿宋" w:eastAsia="仿宋" w:cs="仿宋"/>
          <w:b/>
          <w:bCs/>
          <w:color w:val="000000" w:themeColor="text1"/>
          <w:kern w:val="0"/>
          <w:sz w:val="44"/>
          <w:szCs w:val="44"/>
          <w:highlight w:val="none"/>
          <w14:textFill>
            <w14:solidFill>
              <w14:schemeClr w14:val="tx1"/>
            </w14:solidFill>
          </w14:textFill>
        </w:rPr>
        <w:t>章 响应文件格式</w:t>
      </w:r>
      <w:bookmarkEnd w:id="91"/>
      <w:bookmarkEnd w:id="92"/>
      <w:bookmarkEnd w:id="93"/>
      <w:bookmarkEnd w:id="94"/>
      <w:bookmarkEnd w:id="95"/>
      <w:bookmarkEnd w:id="96"/>
      <w:bookmarkEnd w:id="97"/>
      <w:bookmarkEnd w:id="98"/>
      <w:bookmarkEnd w:id="99"/>
      <w:bookmarkEnd w:id="100"/>
    </w:p>
    <w:p w14:paraId="0F4A9BB5">
      <w:pPr>
        <w:spacing w:line="480" w:lineRule="auto"/>
        <w:jc w:val="center"/>
        <w:rPr>
          <w:rFonts w:hint="eastAsia" w:ascii="仿宋" w:hAnsi="仿宋" w:eastAsia="仿宋" w:cs="仿宋"/>
          <w:b/>
          <w:bCs/>
          <w:color w:val="000000" w:themeColor="text1"/>
          <w:kern w:val="0"/>
          <w:sz w:val="44"/>
          <w:szCs w:val="44"/>
          <w:highlight w:val="none"/>
          <w14:textFill>
            <w14:solidFill>
              <w14:schemeClr w14:val="tx1"/>
            </w14:solidFill>
          </w14:textFill>
        </w:rPr>
      </w:pPr>
    </w:p>
    <w:p w14:paraId="1DCDB881">
      <w:pPr>
        <w:spacing w:line="480" w:lineRule="auto"/>
        <w:ind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kern w:val="0"/>
          <w:sz w:val="48"/>
          <w:szCs w:val="48"/>
          <w:highlight w:val="none"/>
          <w:lang w:eastAsia="zh-CN"/>
          <w14:textFill>
            <w14:solidFill>
              <w14:schemeClr w14:val="tx1"/>
            </w14:solidFill>
          </w14:textFill>
        </w:rPr>
        <w:t>浏阳市人民医院2025年新增试剂配送服务（第二批）入围遴选项目</w:t>
      </w:r>
      <w:r>
        <w:rPr>
          <w:rFonts w:hint="eastAsia" w:ascii="仿宋" w:hAnsi="仿宋" w:eastAsia="仿宋" w:cs="仿宋"/>
          <w:b/>
          <w:bCs/>
          <w:color w:val="000000" w:themeColor="text1"/>
          <w:kern w:val="0"/>
          <w:sz w:val="48"/>
          <w:szCs w:val="48"/>
          <w:highlight w:val="none"/>
          <w:lang w:eastAsia="zh-CN"/>
          <w14:textFill>
            <w14:solidFill>
              <w14:schemeClr w14:val="tx1"/>
            </w14:solidFill>
          </w14:textFill>
        </w:rPr>
        <w:br w:type="textWrapping"/>
      </w:r>
      <w:r>
        <w:rPr>
          <w:rFonts w:hint="eastAsia" w:ascii="仿宋" w:hAnsi="仿宋" w:eastAsia="仿宋" w:cs="仿宋"/>
          <w:b/>
          <w:bCs/>
          <w:color w:val="000000" w:themeColor="text1"/>
          <w:sz w:val="30"/>
          <w:szCs w:val="30"/>
          <w:highlight w:val="none"/>
          <w14:textFill>
            <w14:solidFill>
              <w14:schemeClr w14:val="tx1"/>
            </w14:solidFill>
          </w14:textFill>
        </w:rPr>
        <w:t>项目编号：</w:t>
      </w:r>
    </w:p>
    <w:p w14:paraId="782BE73B">
      <w:pPr>
        <w:spacing w:line="360" w:lineRule="auto"/>
        <w:jc w:val="center"/>
        <w:rPr>
          <w:rFonts w:hint="eastAsia" w:ascii="仿宋" w:hAnsi="仿宋" w:eastAsia="仿宋" w:cs="仿宋"/>
          <w:b/>
          <w:bCs/>
          <w:color w:val="000000" w:themeColor="text1"/>
          <w:sz w:val="72"/>
          <w:szCs w:val="72"/>
          <w:highlight w:val="none"/>
          <w14:textFill>
            <w14:solidFill>
              <w14:schemeClr w14:val="tx1"/>
            </w14:solidFill>
          </w14:textFill>
        </w:rPr>
      </w:pPr>
    </w:p>
    <w:p w14:paraId="4752AF61">
      <w:pPr>
        <w:spacing w:line="360" w:lineRule="auto"/>
        <w:jc w:val="center"/>
        <w:rPr>
          <w:rFonts w:hint="eastAsia" w:ascii="仿宋" w:hAnsi="仿宋" w:eastAsia="仿宋" w:cs="仿宋"/>
          <w:b/>
          <w:bCs/>
          <w:color w:val="000000" w:themeColor="text1"/>
          <w:sz w:val="72"/>
          <w:szCs w:val="72"/>
          <w:highlight w:val="none"/>
          <w14:textFill>
            <w14:solidFill>
              <w14:schemeClr w14:val="tx1"/>
            </w14:solidFill>
          </w14:textFill>
        </w:rPr>
      </w:pPr>
      <w:r>
        <w:rPr>
          <w:rFonts w:hint="eastAsia" w:ascii="仿宋" w:hAnsi="仿宋" w:eastAsia="仿宋" w:cs="仿宋"/>
          <w:b/>
          <w:bCs/>
          <w:color w:val="000000" w:themeColor="text1"/>
          <w:sz w:val="72"/>
          <w:szCs w:val="72"/>
          <w:highlight w:val="none"/>
          <w14:textFill>
            <w14:solidFill>
              <w14:schemeClr w14:val="tx1"/>
            </w14:solidFill>
          </w14:textFill>
        </w:rPr>
        <w:t>响应文件</w:t>
      </w:r>
    </w:p>
    <w:p w14:paraId="4A1EFA46">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217427B3">
      <w:pPr>
        <w:spacing w:line="480" w:lineRule="auto"/>
        <w:ind w:firstLine="840" w:firstLineChars="3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0023B075">
      <w:pPr>
        <w:spacing w:line="480" w:lineRule="auto"/>
        <w:ind w:firstLine="840" w:firstLineChars="300"/>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法定代表人或其委托代理人（签字或盖章）</w:t>
      </w:r>
      <w:r>
        <w:rPr>
          <w:rFonts w:hint="eastAsia" w:ascii="仿宋" w:hAnsi="仿宋" w:eastAsia="仿宋" w:cs="仿宋"/>
          <w:color w:val="000000" w:themeColor="text1"/>
          <w:sz w:val="30"/>
          <w:szCs w:val="30"/>
          <w:highlight w:val="none"/>
          <w14:textFill>
            <w14:solidFill>
              <w14:schemeClr w14:val="tx1"/>
            </w14:solidFill>
          </w14:textFill>
        </w:rPr>
        <w:t>：</w:t>
      </w:r>
    </w:p>
    <w:p w14:paraId="74353558">
      <w:pPr>
        <w:tabs>
          <w:tab w:val="left" w:pos="900"/>
        </w:tabs>
        <w:spacing w:line="480" w:lineRule="auto"/>
        <w:ind w:firstLine="3600" w:firstLineChars="1200"/>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年 月 日</w:t>
      </w:r>
    </w:p>
    <w:p w14:paraId="10D96042">
      <w:pPr>
        <w:spacing w:line="480" w:lineRule="auto"/>
        <w:rPr>
          <w:rFonts w:hint="eastAsia" w:ascii="仿宋" w:hAnsi="仿宋" w:eastAsia="仿宋" w:cs="仿宋"/>
          <w:color w:val="000000" w:themeColor="text1"/>
          <w:sz w:val="24"/>
          <w:szCs w:val="24"/>
          <w:highlight w:val="none"/>
          <w14:textFill>
            <w14:solidFill>
              <w14:schemeClr w14:val="tx1"/>
            </w14:solidFill>
          </w14:textFill>
        </w:rPr>
        <w:sectPr>
          <w:pgSz w:w="11906" w:h="16838"/>
          <w:pgMar w:top="1440" w:right="1797" w:bottom="1440" w:left="1797" w:header="851" w:footer="992" w:gutter="0"/>
          <w:pgNumType w:fmt="decimal"/>
          <w:cols w:space="720" w:num="1"/>
          <w:titlePg/>
          <w:docGrid w:linePitch="312" w:charSpace="0"/>
        </w:sectPr>
      </w:pPr>
    </w:p>
    <w:p w14:paraId="64B326BD">
      <w:pPr>
        <w:spacing w:line="48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101" w:name="_Toc270281781"/>
      <w:bookmarkStart w:id="102" w:name="_Toc342500111"/>
      <w:bookmarkStart w:id="103" w:name="_Toc246213152"/>
    </w:p>
    <w:p w14:paraId="47E21FE3">
      <w:pPr>
        <w:spacing w:line="480" w:lineRule="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响应文件清单</w:t>
      </w:r>
    </w:p>
    <w:p w14:paraId="48EE31A3">
      <w:pPr>
        <w:spacing w:line="360" w:lineRule="auto"/>
        <w:ind w:firstLine="480" w:firstLineChars="200"/>
        <w:jc w:val="left"/>
        <w:rPr>
          <w:rFonts w:hint="eastAsia" w:ascii="仿宋" w:hAnsi="仿宋" w:eastAsia="仿宋" w:cs="仿宋"/>
          <w:bCs/>
          <w:color w:val="000000" w:themeColor="text1"/>
          <w:sz w:val="24"/>
          <w:szCs w:val="24"/>
          <w:highlight w:val="none"/>
          <w14:textFill>
            <w14:solidFill>
              <w14:schemeClr w14:val="tx1"/>
            </w14:solidFill>
          </w14:textFill>
        </w:rPr>
      </w:pPr>
    </w:p>
    <w:p w14:paraId="74F322D0">
      <w:pPr>
        <w:spacing w:line="360" w:lineRule="auto"/>
        <w:ind w:firstLine="602" w:firstLineChars="25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响应文件必须按后附件的响应文件的文档组成顺序装订，否则由此引起的对供应商的不利后果，供应商自行承担。</w:t>
      </w:r>
    </w:p>
    <w:tbl>
      <w:tblPr>
        <w:tblStyle w:val="36"/>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237"/>
        <w:gridCol w:w="992"/>
      </w:tblGrid>
      <w:tr w14:paraId="48A5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8B7548">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237" w:type="dxa"/>
            <w:vAlign w:val="center"/>
          </w:tcPr>
          <w:p w14:paraId="371F1E67">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文件名称</w:t>
            </w:r>
          </w:p>
        </w:tc>
        <w:tc>
          <w:tcPr>
            <w:tcW w:w="992" w:type="dxa"/>
            <w:vAlign w:val="center"/>
          </w:tcPr>
          <w:p w14:paraId="3FDE27B1">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第几页</w:t>
            </w:r>
          </w:p>
        </w:tc>
      </w:tr>
      <w:tr w14:paraId="7945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EA19ABE">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6237" w:type="dxa"/>
          </w:tcPr>
          <w:p w14:paraId="68BA1368">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45877950">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F48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057618">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6237" w:type="dxa"/>
          </w:tcPr>
          <w:p w14:paraId="3D903296">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5FF1835A">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E3D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B8E354A">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6237" w:type="dxa"/>
          </w:tcPr>
          <w:p w14:paraId="599F18D8">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478902D1">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66F9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A4B8E5">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6237" w:type="dxa"/>
          </w:tcPr>
          <w:p w14:paraId="2B56073A">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1E601457">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964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83161C">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34F41CE5">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14054640">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82C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8A222A6">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1F180157">
            <w:pPr>
              <w:spacing w:line="48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76F82192">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204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0EE594">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428A3A07">
            <w:pPr>
              <w:spacing w:line="48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4BE10186">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0861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984627B">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76C2DE40">
            <w:pPr>
              <w:spacing w:line="48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2CD527B9">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388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6B5C88">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16C99DF5">
            <w:pPr>
              <w:spacing w:line="48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4FBD7D98">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3715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6BCDEB1">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16B7E061">
            <w:pPr>
              <w:spacing w:line="48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2727A5EF">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78A2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DFF941C">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60E1CC1D">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51605B7C">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03A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011591E">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049496F7">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537024A5">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220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8F80AA7">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1EBD70D4">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649E256B">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4C7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A2684A">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237" w:type="dxa"/>
          </w:tcPr>
          <w:p w14:paraId="1D879DC0">
            <w:pPr>
              <w:widowControl/>
              <w:spacing w:line="48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14:paraId="76BB916F">
            <w:pPr>
              <w:spacing w:line="48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3B4E964B">
      <w:pPr>
        <w:pStyle w:val="2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04" w:name="OLE_LINK14"/>
      <w:r>
        <w:rPr>
          <w:rFonts w:hint="eastAsia" w:ascii="仿宋" w:hAnsi="仿宋" w:eastAsia="仿宋" w:cs="仿宋"/>
          <w:color w:val="000000" w:themeColor="text1"/>
          <w:sz w:val="28"/>
          <w:szCs w:val="28"/>
          <w:highlight w:val="none"/>
          <w14:textFill>
            <w14:solidFill>
              <w14:schemeClr w14:val="tx1"/>
            </w14:solidFill>
          </w14:textFill>
        </w:rPr>
        <w:t>格式1：</w:t>
      </w:r>
    </w:p>
    <w:p w14:paraId="50E88FC4">
      <w:pPr>
        <w:spacing w:line="220" w:lineRule="atLeast"/>
        <w:jc w:val="center"/>
        <w:rPr>
          <w:rFonts w:hint="eastAsia" w:ascii="仿宋" w:hAnsi="仿宋" w:eastAsia="仿宋" w:cs="仿宋"/>
          <w:b/>
          <w:bCs/>
          <w:color w:val="000000" w:themeColor="text1"/>
          <w:sz w:val="30"/>
          <w:szCs w:val="30"/>
          <w:highlight w:val="none"/>
          <w14:textFill>
            <w14:solidFill>
              <w14:schemeClr w14:val="tx1"/>
            </w14:solidFill>
          </w14:textFill>
        </w:rPr>
      </w:pPr>
    </w:p>
    <w:p w14:paraId="04E027DA">
      <w:pPr>
        <w:adjustRightInd w:val="0"/>
        <w:snapToGrid w:val="0"/>
        <w:spacing w:line="360" w:lineRule="auto"/>
        <w:jc w:val="center"/>
        <w:rPr>
          <w:rFonts w:hint="eastAsia" w:ascii="仿宋" w:hAnsi="仿宋" w:eastAsia="仿宋" w:cs="仿宋"/>
          <w:b/>
          <w:strike/>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报价一览表</w:t>
      </w:r>
    </w:p>
    <w:p w14:paraId="26657AE9">
      <w:pPr>
        <w:tabs>
          <w:tab w:val="left" w:pos="360"/>
        </w:tabs>
        <w:adjustRightInd w:val="0"/>
        <w:snapToGrid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14:paraId="1E2916A3">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致：湖南鑫卫医药电子商务科技发展有限公司：</w:t>
      </w:r>
    </w:p>
    <w:tbl>
      <w:tblPr>
        <w:tblStyle w:val="36"/>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3705"/>
      </w:tblGrid>
      <w:tr w14:paraId="6558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29562476">
            <w:pPr>
              <w:widowControl/>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包号</w:t>
            </w:r>
          </w:p>
        </w:tc>
        <w:tc>
          <w:tcPr>
            <w:tcW w:w="370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8C19403">
            <w:pPr>
              <w:widowControl/>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折扣（%）</w:t>
            </w:r>
          </w:p>
        </w:tc>
      </w:tr>
      <w:tr w14:paraId="74B0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02AD3CAD">
            <w:pPr>
              <w:widowControl/>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包</w:t>
            </w:r>
          </w:p>
        </w:tc>
        <w:tc>
          <w:tcPr>
            <w:tcW w:w="3705" w:type="dxa"/>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AFD5B9D">
            <w:pPr>
              <w:widowControl/>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315EBA6E">
      <w:pPr>
        <w:pStyle w:val="201"/>
        <w:adjustRightInd w:val="0"/>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p>
    <w:p w14:paraId="1A22CC61">
      <w:pPr>
        <w:pStyle w:val="202"/>
        <w:adjustRightInd w:val="0"/>
        <w:snapToGrid w:val="0"/>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本表须按包填写，一个“包号”一份。</w:t>
      </w:r>
    </w:p>
    <w:p w14:paraId="10D71EA4">
      <w:pPr>
        <w:keepNext w:val="0"/>
        <w:keepLines w:val="0"/>
        <w:pageBreakBefore w:val="0"/>
        <w:widowControl/>
        <w:wordWrap/>
        <w:overflowPunct/>
        <w:topLinePunct w:val="0"/>
        <w:bidi w:val="0"/>
        <w:adjustRightInd/>
        <w:snapToGrid w:val="0"/>
        <w:spacing w:before="0" w:line="360" w:lineRule="auto"/>
        <w:ind w:left="0" w:leftChars="0" w:right="420" w:firstLine="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折扣（%）</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范围为：0</w:t>
      </w:r>
      <w:r>
        <w:rPr>
          <w:rFonts w:hint="eastAsia" w:ascii="仿宋" w:hAnsi="仿宋" w:eastAsia="仿宋" w:cs="仿宋"/>
          <w:b/>
          <w:bCs/>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折扣（%）</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100，保留小数点后两位的数值。</w:t>
      </w:r>
      <w:r>
        <w:rPr>
          <w:rFonts w:hint="eastAsia" w:ascii="仿宋" w:hAnsi="仿宋" w:eastAsia="仿宋" w:cs="仿宋"/>
          <w:color w:val="000000" w:themeColor="text1"/>
          <w:kern w:val="0"/>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3、未提供或未填写或填写为负数或为“0”或“大于100%”或用其他符号表示的，则该包号响应无效。</w:t>
      </w:r>
      <w:r>
        <w:rPr>
          <w:rFonts w:hint="eastAsia" w:ascii="仿宋" w:hAnsi="仿宋" w:eastAsia="仿宋" w:cs="仿宋"/>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0"/>
          <w:sz w:val="24"/>
          <w:szCs w:val="24"/>
          <w:highlight w:val="none"/>
          <w14:textFill>
            <w14:solidFill>
              <w14:schemeClr w14:val="tx1"/>
            </w14:solidFill>
          </w14:textFill>
        </w:rPr>
        <w:t>.投标报价以</w:t>
      </w:r>
      <w:r>
        <w:rPr>
          <w:rFonts w:hint="eastAsia" w:ascii="仿宋" w:hAnsi="仿宋" w:eastAsia="仿宋" w:cs="仿宋"/>
          <w:color w:val="000000" w:themeColor="text1"/>
          <w:spacing w:val="0"/>
          <w:sz w:val="24"/>
          <w:szCs w:val="24"/>
          <w:highlight w:val="none"/>
          <w:lang w:val="en-US" w:eastAsia="zh-CN"/>
          <w14:textFill>
            <w14:solidFill>
              <w14:schemeClr w14:val="tx1"/>
            </w14:solidFill>
          </w14:textFill>
        </w:rPr>
        <w:t>统一</w:t>
      </w:r>
      <w:r>
        <w:rPr>
          <w:rFonts w:hint="eastAsia" w:ascii="仿宋" w:hAnsi="仿宋" w:eastAsia="仿宋" w:cs="仿宋"/>
          <w:color w:val="000000" w:themeColor="text1"/>
          <w:spacing w:val="0"/>
          <w:sz w:val="24"/>
          <w:szCs w:val="24"/>
          <w:highlight w:val="none"/>
          <w14:textFill>
            <w14:solidFill>
              <w14:schemeClr w14:val="tx1"/>
            </w14:solidFill>
          </w14:textFill>
        </w:rPr>
        <w:t>折扣报价。</w:t>
      </w:r>
    </w:p>
    <w:p w14:paraId="6AA681D9">
      <w:pPr>
        <w:spacing w:after="120"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p>
    <w:p w14:paraId="10D04065">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20431F03">
      <w:pPr>
        <w:adjustRightInd w:val="0"/>
        <w:snapToGrid w:val="0"/>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p>
    <w:p w14:paraId="4A097208">
      <w:pPr>
        <w:adjustRightInd w:val="0"/>
        <w:snapToGrid w:val="0"/>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供应商名称（公章）：</w:t>
      </w:r>
    </w:p>
    <w:p w14:paraId="676882BB">
      <w:pPr>
        <w:adjustRightInd w:val="0"/>
        <w:snapToGrid w:val="0"/>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法定代表人或其授权的代理人（签字或盖章）：</w:t>
      </w:r>
    </w:p>
    <w:p w14:paraId="2F6C3A5E">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14:paraId="6607FA58">
      <w:pPr>
        <w:adjustRightInd w:val="0"/>
        <w:snapToGrid w:val="0"/>
        <w:spacing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14:paraId="4F136088">
      <w:pPr>
        <w:adjustRightInd w:val="0"/>
        <w:snapToGrid w:val="0"/>
        <w:spacing w:line="360" w:lineRule="auto"/>
        <w:ind w:firstLine="720" w:firstLineChars="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14:paraId="2C34B3C2">
      <w:pPr>
        <w:adjustRightInd w:val="0"/>
        <w:snapToGrid w:val="0"/>
        <w:spacing w:line="360" w:lineRule="auto"/>
        <w:rPr>
          <w:rFonts w:hint="eastAsia" w:ascii="仿宋" w:hAnsi="仿宋" w:eastAsia="仿宋" w:cs="仿宋"/>
          <w:strike/>
          <w:color w:val="000000" w:themeColor="text1"/>
          <w:sz w:val="24"/>
          <w:szCs w:val="24"/>
          <w:highlight w:val="none"/>
          <w14:textFill>
            <w14:solidFill>
              <w14:schemeClr w14:val="tx1"/>
            </w14:solidFill>
          </w14:textFill>
        </w:rPr>
        <w:sectPr>
          <w:pgSz w:w="11906" w:h="16838"/>
          <w:pgMar w:top="1440" w:right="1800" w:bottom="1440" w:left="1800" w:header="851" w:footer="992" w:gutter="0"/>
          <w:pgNumType w:fmt="decimal"/>
          <w:cols w:space="720" w:num="1"/>
          <w:docGrid w:linePitch="312" w:charSpace="0"/>
        </w:sectPr>
      </w:pPr>
    </w:p>
    <w:bookmarkEnd w:id="104"/>
    <w:p w14:paraId="68435A18">
      <w:pPr>
        <w:pStyle w:val="200"/>
        <w:adjustRightInd w:val="0"/>
        <w:snapToGrid w:val="0"/>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格式2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：分项报价明细表</w:t>
      </w:r>
    </w:p>
    <w:p w14:paraId="7AE4278D">
      <w:pPr>
        <w:pStyle w:val="200"/>
        <w:adjustRightInd w:val="0"/>
        <w:snapToGrid w:val="0"/>
        <w:spacing w:line="360" w:lineRule="auto"/>
        <w:rPr>
          <w:rFonts w:hint="eastAsia" w:ascii="宋体" w:hAnsi="宋体"/>
          <w:color w:val="000000" w:themeColor="text1"/>
          <w:szCs w:val="21"/>
          <w:highlight w:val="none"/>
          <w14:textFill>
            <w14:solidFill>
              <w14:schemeClr w14:val="tx1"/>
            </w14:solidFill>
          </w14:textFill>
        </w:rPr>
      </w:pPr>
    </w:p>
    <w:p w14:paraId="1DCE4E73">
      <w:pPr>
        <w:pStyle w:val="200"/>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项目编号：</w:t>
      </w:r>
      <w:r>
        <w:rPr>
          <w:rFonts w:hint="eastAsia" w:ascii="仿宋" w:hAnsi="仿宋" w:eastAsia="仿宋" w:cs="仿宋"/>
          <w:color w:val="000000" w:themeColor="text1"/>
          <w:szCs w:val="21"/>
          <w:highlight w:val="none"/>
          <w:u w:val="single"/>
          <w14:textFill>
            <w14:solidFill>
              <w14:schemeClr w14:val="tx1"/>
            </w14:solidFill>
          </w14:textFill>
        </w:rPr>
        <w:t>__    ________</w:t>
      </w:r>
      <w:r>
        <w:rPr>
          <w:rFonts w:hint="eastAsia" w:ascii="仿宋" w:hAnsi="仿宋" w:eastAsia="仿宋" w:cs="仿宋"/>
          <w:color w:val="000000" w:themeColor="text1"/>
          <w:szCs w:val="21"/>
          <w:highlight w:val="none"/>
          <w14:textFill>
            <w14:solidFill>
              <w14:schemeClr w14:val="tx1"/>
            </w14:solidFill>
          </w14:textFill>
        </w:rPr>
        <w:t xml:space="preserve">                    项目名称：</w:t>
      </w:r>
      <w:r>
        <w:rPr>
          <w:rFonts w:hint="eastAsia" w:ascii="仿宋" w:hAnsi="仿宋" w:eastAsia="仿宋" w:cs="仿宋"/>
          <w:color w:val="000000" w:themeColor="text1"/>
          <w:szCs w:val="21"/>
          <w:highlight w:val="none"/>
          <w:u w:val="single"/>
          <w14:textFill>
            <w14:solidFill>
              <w14:schemeClr w14:val="tx1"/>
            </w14:solidFill>
          </w14:textFill>
        </w:rPr>
        <w:t>____            _____</w:t>
      </w:r>
    </w:p>
    <w:p w14:paraId="0EA45FEE">
      <w:pPr>
        <w:pStyle w:val="200"/>
        <w:adjustRightInd w:val="0"/>
        <w:snapToGrid w:val="0"/>
        <w:spacing w:line="360" w:lineRule="auto"/>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包号：</w:t>
      </w:r>
      <w:r>
        <w:rPr>
          <w:rFonts w:hint="eastAsia" w:ascii="仿宋" w:hAnsi="仿宋" w:eastAsia="仿宋" w:cs="仿宋"/>
          <w:color w:val="000000" w:themeColor="text1"/>
          <w:szCs w:val="21"/>
          <w:highlight w:val="none"/>
          <w:u w:val="single"/>
          <w14:textFill>
            <w14:solidFill>
              <w14:schemeClr w14:val="tx1"/>
            </w14:solidFill>
          </w14:textFill>
        </w:rPr>
        <w:t xml:space="preserve">__    ________   </w:t>
      </w:r>
      <w:r>
        <w:rPr>
          <w:rFonts w:hint="eastAsia" w:ascii="仿宋" w:hAnsi="仿宋" w:eastAsia="仿宋" w:cs="仿宋"/>
          <w:color w:val="000000" w:themeColor="text1"/>
          <w:szCs w:val="21"/>
          <w:highlight w:val="none"/>
          <w14:textFill>
            <w14:solidFill>
              <w14:schemeClr w14:val="tx1"/>
            </w14:solidFill>
          </w14:textFill>
        </w:rPr>
        <w:t xml:space="preserve">                     包名称：</w:t>
      </w:r>
      <w:r>
        <w:rPr>
          <w:rFonts w:hint="eastAsia" w:ascii="仿宋" w:hAnsi="仿宋" w:eastAsia="仿宋" w:cs="仿宋"/>
          <w:color w:val="000000" w:themeColor="text1"/>
          <w:szCs w:val="21"/>
          <w:highlight w:val="none"/>
          <w:u w:val="single"/>
          <w14:textFill>
            <w14:solidFill>
              <w14:schemeClr w14:val="tx1"/>
            </w14:solidFill>
          </w14:textFill>
        </w:rPr>
        <w:t xml:space="preserve">__    ________  </w:t>
      </w:r>
    </w:p>
    <w:p w14:paraId="6A01F9FC">
      <w:pPr>
        <w:pStyle w:val="200"/>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bl>
      <w:tblPr>
        <w:tblStyle w:val="36"/>
        <w:tblW w:w="12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427"/>
        <w:gridCol w:w="427"/>
        <w:gridCol w:w="427"/>
        <w:gridCol w:w="427"/>
        <w:gridCol w:w="427"/>
        <w:gridCol w:w="638"/>
        <w:gridCol w:w="427"/>
        <w:gridCol w:w="638"/>
        <w:gridCol w:w="427"/>
        <w:gridCol w:w="427"/>
        <w:gridCol w:w="638"/>
        <w:gridCol w:w="657"/>
        <w:gridCol w:w="765"/>
        <w:gridCol w:w="795"/>
        <w:gridCol w:w="465"/>
        <w:gridCol w:w="1035"/>
        <w:gridCol w:w="943"/>
        <w:gridCol w:w="813"/>
        <w:gridCol w:w="1125"/>
      </w:tblGrid>
      <w:tr w14:paraId="4186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427" w:type="dxa"/>
            <w:noWrap w:val="0"/>
            <w:vAlign w:val="center"/>
          </w:tcPr>
          <w:p w14:paraId="66AF7901">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eastAsia="zh-CN"/>
                <w14:textFill>
                  <w14:solidFill>
                    <w14:schemeClr w14:val="tx1"/>
                  </w14:solidFill>
                </w14:textFill>
              </w:rPr>
            </w:pPr>
            <w:r>
              <w:rPr>
                <w:rFonts w:hint="eastAsia" w:ascii="仿宋" w:hAnsi="仿宋" w:eastAsia="仿宋" w:cs="仿宋"/>
                <w:b/>
                <w:bCs/>
                <w:color w:val="000000" w:themeColor="text1"/>
                <w:sz w:val="18"/>
                <w:szCs w:val="18"/>
                <w:highlight w:val="none"/>
                <w:lang w:eastAsia="zh-CN"/>
                <w14:textFill>
                  <w14:solidFill>
                    <w14:schemeClr w14:val="tx1"/>
                  </w14:solidFill>
                </w14:textFill>
              </w:rPr>
              <w:t>包号</w:t>
            </w:r>
          </w:p>
        </w:tc>
        <w:tc>
          <w:tcPr>
            <w:tcW w:w="427" w:type="dxa"/>
            <w:noWrap w:val="0"/>
            <w:vAlign w:val="center"/>
          </w:tcPr>
          <w:p w14:paraId="746F7A32">
            <w:pPr>
              <w:shd w:val="clear"/>
              <w:autoSpaceDE w:val="0"/>
              <w:autoSpaceDN w:val="0"/>
              <w:adjustRightInd w:val="0"/>
              <w:snapToGrid w:val="0"/>
              <w:spacing w:before="161" w:beforeLines="50" w:line="240" w:lineRule="auto"/>
              <w:jc w:val="left"/>
              <w:rPr>
                <w:rFonts w:hint="default"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目录序号</w:t>
            </w:r>
          </w:p>
        </w:tc>
        <w:tc>
          <w:tcPr>
            <w:tcW w:w="427" w:type="dxa"/>
            <w:noWrap w:val="0"/>
            <w:vAlign w:val="center"/>
          </w:tcPr>
          <w:p w14:paraId="739B8A99">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目录名称</w:t>
            </w:r>
          </w:p>
        </w:tc>
        <w:tc>
          <w:tcPr>
            <w:tcW w:w="427" w:type="dxa"/>
            <w:noWrap w:val="0"/>
            <w:vAlign w:val="center"/>
          </w:tcPr>
          <w:p w14:paraId="3395ED17">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供应商名称</w:t>
            </w:r>
          </w:p>
        </w:tc>
        <w:tc>
          <w:tcPr>
            <w:tcW w:w="427" w:type="dxa"/>
            <w:noWrap w:val="0"/>
            <w:vAlign w:val="center"/>
          </w:tcPr>
          <w:p w14:paraId="6A0FE960">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产品注册名称</w:t>
            </w:r>
          </w:p>
        </w:tc>
        <w:tc>
          <w:tcPr>
            <w:tcW w:w="427" w:type="dxa"/>
            <w:noWrap w:val="0"/>
            <w:vAlign w:val="center"/>
          </w:tcPr>
          <w:p w14:paraId="12C096F6">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国籍/品牌</w:t>
            </w:r>
          </w:p>
        </w:tc>
        <w:tc>
          <w:tcPr>
            <w:tcW w:w="427" w:type="dxa"/>
            <w:noWrap w:val="0"/>
            <w:vAlign w:val="center"/>
          </w:tcPr>
          <w:p w14:paraId="3F500C62">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规格</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w:t>
            </w:r>
          </w:p>
          <w:p w14:paraId="14305285">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型</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号</w:t>
            </w:r>
          </w:p>
        </w:tc>
        <w:tc>
          <w:tcPr>
            <w:tcW w:w="638" w:type="dxa"/>
            <w:noWrap w:val="0"/>
            <w:vAlign w:val="center"/>
          </w:tcPr>
          <w:p w14:paraId="72C2F9D5">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注册证号</w:t>
            </w:r>
            <w:r>
              <w:rPr>
                <w:rFonts w:hint="eastAsia" w:ascii="仿宋" w:hAnsi="仿宋" w:eastAsia="仿宋" w:cs="仿宋"/>
                <w:b/>
                <w:bCs/>
                <w:color w:val="000000" w:themeColor="text1"/>
                <w:sz w:val="18"/>
                <w:szCs w:val="18"/>
                <w:highlight w:val="none"/>
                <w:lang w:eastAsia="zh-CN"/>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备案证号）</w:t>
            </w:r>
          </w:p>
        </w:tc>
        <w:tc>
          <w:tcPr>
            <w:tcW w:w="427" w:type="dxa"/>
            <w:noWrap w:val="0"/>
            <w:vAlign w:val="center"/>
          </w:tcPr>
          <w:p w14:paraId="7AB5C0B6">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注册证有效期</w:t>
            </w:r>
          </w:p>
        </w:tc>
        <w:tc>
          <w:tcPr>
            <w:tcW w:w="638" w:type="dxa"/>
            <w:noWrap w:val="0"/>
            <w:vAlign w:val="center"/>
          </w:tcPr>
          <w:p w14:paraId="57035AB9">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国家医保编码</w:t>
            </w:r>
            <w:r>
              <w:rPr>
                <w:rFonts w:hint="eastAsia" w:ascii="仿宋" w:hAnsi="仿宋" w:eastAsia="仿宋" w:cs="仿宋"/>
                <w:b/>
                <w:bCs/>
                <w:color w:val="000000" w:themeColor="text1"/>
                <w:sz w:val="18"/>
                <w:szCs w:val="18"/>
                <w:highlight w:val="none"/>
                <w:lang w:eastAsia="zh-CN"/>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如有）</w:t>
            </w:r>
          </w:p>
        </w:tc>
        <w:tc>
          <w:tcPr>
            <w:tcW w:w="427" w:type="dxa"/>
            <w:noWrap w:val="0"/>
            <w:vAlign w:val="center"/>
          </w:tcPr>
          <w:p w14:paraId="29EE063D">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生产厂家</w:t>
            </w:r>
          </w:p>
        </w:tc>
        <w:tc>
          <w:tcPr>
            <w:tcW w:w="427" w:type="dxa"/>
            <w:noWrap w:val="0"/>
            <w:vAlign w:val="center"/>
          </w:tcPr>
          <w:p w14:paraId="39475453">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报价单位</w:t>
            </w:r>
          </w:p>
        </w:tc>
        <w:tc>
          <w:tcPr>
            <w:tcW w:w="638" w:type="dxa"/>
            <w:noWrap w:val="0"/>
            <w:vAlign w:val="center"/>
          </w:tcPr>
          <w:p w14:paraId="35A926E1">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最高限价（元/报价单位）</w:t>
            </w:r>
          </w:p>
        </w:tc>
        <w:tc>
          <w:tcPr>
            <w:tcW w:w="657" w:type="dxa"/>
            <w:noWrap w:val="0"/>
            <w:vAlign w:val="center"/>
          </w:tcPr>
          <w:p w14:paraId="673C9688">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遴选报价</w:t>
            </w:r>
            <w:r>
              <w:rPr>
                <w:rFonts w:hint="eastAsia" w:ascii="仿宋" w:hAnsi="仿宋" w:eastAsia="仿宋" w:cs="仿宋"/>
                <w:b/>
                <w:bCs/>
                <w:color w:val="000000" w:themeColor="text1"/>
                <w:sz w:val="18"/>
                <w:szCs w:val="18"/>
                <w:highlight w:val="none"/>
                <w:lang w:eastAsia="zh-CN"/>
                <w14:textFill>
                  <w14:solidFill>
                    <w14:schemeClr w14:val="tx1"/>
                  </w14:solidFill>
                </w14:textFill>
              </w:rPr>
              <w:t>折扣</w:t>
            </w:r>
            <w:r>
              <w:rPr>
                <w:rFonts w:hint="eastAsia" w:ascii="仿宋" w:hAnsi="仿宋" w:eastAsia="仿宋" w:cs="仿宋"/>
                <w:b/>
                <w:bCs/>
                <w:color w:val="000000" w:themeColor="text1"/>
                <w:sz w:val="18"/>
                <w:szCs w:val="18"/>
                <w:highlight w:val="none"/>
                <w14:textFill>
                  <w14:solidFill>
                    <w14:schemeClr w14:val="tx1"/>
                  </w14:solidFill>
                </w14:textFill>
              </w:rPr>
              <w:t>(%)</w:t>
            </w:r>
          </w:p>
        </w:tc>
        <w:tc>
          <w:tcPr>
            <w:tcW w:w="765" w:type="dxa"/>
            <w:noWrap w:val="0"/>
            <w:vAlign w:val="center"/>
          </w:tcPr>
          <w:p w14:paraId="72C4CEBD">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遴选价格（元/报价单位）</w:t>
            </w:r>
          </w:p>
        </w:tc>
        <w:tc>
          <w:tcPr>
            <w:tcW w:w="795" w:type="dxa"/>
            <w:noWrap w:val="0"/>
            <w:vAlign w:val="center"/>
          </w:tcPr>
          <w:p w14:paraId="1E61C67A">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14:textFill>
                  <w14:solidFill>
                    <w14:schemeClr w14:val="tx1"/>
                  </w14:solidFill>
                </w14:textFill>
              </w:rPr>
              <w:t>最小销售单位</w:t>
            </w:r>
            <w:r>
              <w:rPr>
                <w:rFonts w:hint="eastAsia" w:ascii="仿宋" w:hAnsi="仿宋" w:eastAsia="仿宋" w:cs="仿宋"/>
                <w:b/>
                <w:bCs/>
                <w:color w:val="000000" w:themeColor="text1"/>
                <w:sz w:val="18"/>
                <w:szCs w:val="18"/>
                <w:highlight w:val="none"/>
                <w:lang w:eastAsia="zh-CN"/>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包装描述）</w:t>
            </w:r>
          </w:p>
        </w:tc>
        <w:tc>
          <w:tcPr>
            <w:tcW w:w="465" w:type="dxa"/>
            <w:noWrap w:val="0"/>
            <w:vAlign w:val="center"/>
          </w:tcPr>
          <w:p w14:paraId="5CF69AA5">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单位转换值</w:t>
            </w:r>
          </w:p>
        </w:tc>
        <w:tc>
          <w:tcPr>
            <w:tcW w:w="1035" w:type="dxa"/>
            <w:noWrap w:val="0"/>
            <w:vAlign w:val="center"/>
          </w:tcPr>
          <w:p w14:paraId="1F98AC0A">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遴选转换价格（元/最小销售单位）</w:t>
            </w:r>
          </w:p>
        </w:tc>
        <w:tc>
          <w:tcPr>
            <w:tcW w:w="943" w:type="dxa"/>
            <w:noWrap w:val="0"/>
            <w:vAlign w:val="center"/>
          </w:tcPr>
          <w:p w14:paraId="4259178B">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湖南省药品和医药耗材招采管理子系统</w:t>
            </w:r>
            <w:r>
              <w:rPr>
                <w:rFonts w:hint="eastAsia" w:ascii="仿宋" w:hAnsi="仿宋" w:eastAsia="仿宋" w:cs="仿宋"/>
                <w:b/>
                <w:bCs/>
                <w:color w:val="000000" w:themeColor="text1"/>
                <w:sz w:val="18"/>
                <w:szCs w:val="18"/>
                <w:highlight w:val="none"/>
                <w14:textFill>
                  <w14:solidFill>
                    <w14:schemeClr w14:val="tx1"/>
                  </w14:solidFill>
                </w14:textFill>
              </w:rPr>
              <w:t>价格（元</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/单位</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eastAsia="zh-CN"/>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如有）</w:t>
            </w:r>
          </w:p>
        </w:tc>
        <w:tc>
          <w:tcPr>
            <w:tcW w:w="813" w:type="dxa"/>
            <w:noWrap w:val="0"/>
            <w:vAlign w:val="center"/>
          </w:tcPr>
          <w:p w14:paraId="08A442E8">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湖南省药品和医药耗材招采管理子系统本地编码</w:t>
            </w:r>
            <w:r>
              <w:rPr>
                <w:rFonts w:hint="eastAsia" w:ascii="仿宋" w:hAnsi="仿宋" w:eastAsia="仿宋" w:cs="仿宋"/>
                <w:b/>
                <w:bCs/>
                <w:color w:val="000000" w:themeColor="text1"/>
                <w:sz w:val="18"/>
                <w:szCs w:val="18"/>
                <w:highlight w:val="none"/>
                <w:lang w:eastAsia="zh-CN"/>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如有）</w:t>
            </w:r>
          </w:p>
        </w:tc>
        <w:tc>
          <w:tcPr>
            <w:tcW w:w="1125" w:type="dxa"/>
            <w:noWrap w:val="0"/>
            <w:vAlign w:val="center"/>
          </w:tcPr>
          <w:p w14:paraId="41A4BC4C">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产品注册证（备案证）</w:t>
            </w:r>
          </w:p>
          <w:p w14:paraId="603F7738">
            <w:pPr>
              <w:shd w:val="clear"/>
              <w:autoSpaceDE w:val="0"/>
              <w:autoSpaceDN w:val="0"/>
              <w:adjustRightInd w:val="0"/>
              <w:snapToGrid w:val="0"/>
              <w:spacing w:before="161" w:beforeLines="50" w:line="240" w:lineRule="auto"/>
              <w:jc w:val="left"/>
              <w:rPr>
                <w:rFonts w:hint="eastAsia" w:ascii="仿宋" w:hAnsi="仿宋" w:eastAsia="仿宋" w:cs="仿宋"/>
                <w:b/>
                <w:bCs/>
                <w:color w:val="000000" w:themeColor="text1"/>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响应文件中的对应页码</w:t>
            </w:r>
          </w:p>
        </w:tc>
      </w:tr>
      <w:tr w14:paraId="3514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27" w:type="dxa"/>
            <w:noWrap w:val="0"/>
            <w:vAlign w:val="center"/>
          </w:tcPr>
          <w:p w14:paraId="3B15C335">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7DF24133">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458A4C85">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042B830B">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08CED164">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3A239EA3">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476C1760">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638" w:type="dxa"/>
            <w:noWrap w:val="0"/>
            <w:vAlign w:val="center"/>
          </w:tcPr>
          <w:p w14:paraId="23C1A5A7">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4175E742">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638" w:type="dxa"/>
            <w:noWrap w:val="0"/>
            <w:vAlign w:val="center"/>
          </w:tcPr>
          <w:p w14:paraId="64821703">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0FB697A5">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427" w:type="dxa"/>
            <w:noWrap w:val="0"/>
            <w:vAlign w:val="center"/>
          </w:tcPr>
          <w:p w14:paraId="273B6EE5">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根</w:t>
            </w:r>
          </w:p>
        </w:tc>
        <w:tc>
          <w:tcPr>
            <w:tcW w:w="638" w:type="dxa"/>
            <w:noWrap w:val="0"/>
            <w:vAlign w:val="center"/>
          </w:tcPr>
          <w:p w14:paraId="14EC92AF">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X</w:t>
            </w:r>
          </w:p>
        </w:tc>
        <w:tc>
          <w:tcPr>
            <w:tcW w:w="657" w:type="dxa"/>
            <w:noWrap w:val="0"/>
            <w:vAlign w:val="center"/>
          </w:tcPr>
          <w:p w14:paraId="69E41480">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80%</w:t>
            </w:r>
          </w:p>
        </w:tc>
        <w:tc>
          <w:tcPr>
            <w:tcW w:w="765" w:type="dxa"/>
            <w:noWrap w:val="0"/>
            <w:vAlign w:val="center"/>
          </w:tcPr>
          <w:p w14:paraId="4BCD6018">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X*80%</w:t>
            </w:r>
          </w:p>
        </w:tc>
        <w:tc>
          <w:tcPr>
            <w:tcW w:w="795" w:type="dxa"/>
            <w:noWrap w:val="0"/>
            <w:vAlign w:val="center"/>
          </w:tcPr>
          <w:p w14:paraId="3719E9FB">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盒（20根/盒）</w:t>
            </w:r>
          </w:p>
        </w:tc>
        <w:tc>
          <w:tcPr>
            <w:tcW w:w="465" w:type="dxa"/>
            <w:noWrap w:val="0"/>
            <w:vAlign w:val="center"/>
          </w:tcPr>
          <w:p w14:paraId="6BDDEDBA">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20</w:t>
            </w:r>
          </w:p>
        </w:tc>
        <w:tc>
          <w:tcPr>
            <w:tcW w:w="1035" w:type="dxa"/>
            <w:noWrap w:val="0"/>
            <w:vAlign w:val="center"/>
          </w:tcPr>
          <w:p w14:paraId="35A10F8E">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lang w:val="en-US"/>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X*80%*20</w:t>
            </w:r>
          </w:p>
        </w:tc>
        <w:tc>
          <w:tcPr>
            <w:tcW w:w="943" w:type="dxa"/>
            <w:noWrap w:val="0"/>
            <w:vAlign w:val="center"/>
          </w:tcPr>
          <w:p w14:paraId="4BB819F5">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813" w:type="dxa"/>
            <w:noWrap w:val="0"/>
            <w:vAlign w:val="center"/>
          </w:tcPr>
          <w:p w14:paraId="500DA39F">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125" w:type="dxa"/>
            <w:noWrap w:val="0"/>
            <w:vAlign w:val="center"/>
          </w:tcPr>
          <w:p w14:paraId="0F091B62">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0"/>
                <w:szCs w:val="20"/>
                <w:highlight w:val="none"/>
                <w14:textFill>
                  <w14:solidFill>
                    <w14:schemeClr w14:val="tx1"/>
                  </w14:solidFill>
                </w14:textFill>
              </w:rPr>
            </w:pPr>
          </w:p>
        </w:tc>
      </w:tr>
    </w:tbl>
    <w:p w14:paraId="31301C99">
      <w:pPr>
        <w:pStyle w:val="200"/>
        <w:spacing w:line="360" w:lineRule="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供应商</w:t>
      </w:r>
      <w:r>
        <w:rPr>
          <w:rFonts w:hint="eastAsia" w:ascii="仿宋" w:hAnsi="仿宋" w:eastAsia="仿宋" w:cs="仿宋"/>
          <w:color w:val="000000" w:themeColor="text1"/>
          <w:szCs w:val="21"/>
          <w:highlight w:val="none"/>
          <w14:textFill>
            <w14:solidFill>
              <w14:schemeClr w14:val="tx1"/>
            </w14:solidFill>
          </w14:textFill>
        </w:rPr>
        <w:t>如果不提供分项报价明细表，其</w:t>
      </w:r>
      <w:r>
        <w:rPr>
          <w:rFonts w:hint="eastAsia" w:ascii="仿宋" w:hAnsi="仿宋" w:eastAsia="仿宋" w:cs="仿宋"/>
          <w:b/>
          <w:bCs/>
          <w:color w:val="000000" w:themeColor="text1"/>
          <w:szCs w:val="21"/>
          <w:highlight w:val="none"/>
          <w14:textFill>
            <w14:solidFill>
              <w14:schemeClr w14:val="tx1"/>
            </w14:solidFill>
          </w14:textFill>
        </w:rPr>
        <w:t>响应</w:t>
      </w:r>
      <w:r>
        <w:rPr>
          <w:rFonts w:hint="eastAsia" w:ascii="仿宋" w:hAnsi="仿宋" w:eastAsia="仿宋" w:cs="仿宋"/>
          <w:b/>
          <w:color w:val="000000" w:themeColor="text1"/>
          <w:szCs w:val="21"/>
          <w:highlight w:val="none"/>
          <w14:textFill>
            <w14:solidFill>
              <w14:schemeClr w14:val="tx1"/>
            </w14:solidFill>
          </w14:textFill>
        </w:rPr>
        <w:t>无效</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2、上表中“包号”、“编号”（如有）、“产品名称”、“报价单位”、“最高限价”须与采购目录保持一致。“规格型号”、“生产厂家”（注：“生产厂家”非“代理人”）、“产品注册（备案）证名称”、“产品注册（备案）证号”、“注册证有效期至”须与产品注册（备案）证号上信息保持一致。</w:t>
      </w:r>
    </w:p>
    <w:p w14:paraId="004B59F5">
      <w:pPr>
        <w:keepNext w:val="0"/>
        <w:keepLines w:val="0"/>
        <w:pageBreakBefore w:val="0"/>
        <w:widowControl w:val="0"/>
        <w:shd w:val="clear"/>
        <w:kinsoku/>
        <w:wordWrap/>
        <w:overflowPunct/>
        <w:topLinePunct w:val="0"/>
        <w:autoSpaceDE w:val="0"/>
        <w:autoSpaceDN w:val="0"/>
        <w:bidi w:val="0"/>
        <w:adjustRightInd w:val="0"/>
        <w:snapToGrid w:val="0"/>
        <w:spacing w:before="161" w:beforeLines="50" w:line="240" w:lineRule="auto"/>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3、“最小销售单位”为入围后的供货单位，“单位转换值”为“最小销售单位”÷“报价单位”。</w:t>
      </w:r>
    </w:p>
    <w:p w14:paraId="21D779FF">
      <w:pPr>
        <w:keepNext w:val="0"/>
        <w:keepLines w:val="0"/>
        <w:pageBreakBefore w:val="0"/>
        <w:widowControl w:val="0"/>
        <w:shd w:val="clear"/>
        <w:kinsoku/>
        <w:wordWrap/>
        <w:overflowPunct/>
        <w:topLinePunct w:val="0"/>
        <w:autoSpaceDE w:val="0"/>
        <w:autoSpaceDN w:val="0"/>
        <w:bidi w:val="0"/>
        <w:adjustRightInd w:val="0"/>
        <w:snapToGrid w:val="0"/>
        <w:spacing w:before="161" w:beforeLines="50" w:line="240" w:lineRule="auto"/>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遴选报价折扣=遴选价格/（最高限价或者阳光挂网价）*100%【如文件提供最高限价则以最高限价为准，如没有最高限价则以阳光挂网价为准】。如产品信息一览表中折扣未填写或填写为负数或为“0”或“大于100%”或用其他符号表示的，则该包号响应无效。</w:t>
      </w:r>
    </w:p>
    <w:p w14:paraId="50F0B3AE">
      <w:pPr>
        <w:keepNext w:val="0"/>
        <w:keepLines w:val="0"/>
        <w:pageBreakBefore w:val="0"/>
        <w:widowControl w:val="0"/>
        <w:shd w:val="clear"/>
        <w:kinsoku/>
        <w:wordWrap/>
        <w:overflowPunct/>
        <w:topLinePunct w:val="0"/>
        <w:autoSpaceDE w:val="0"/>
        <w:autoSpaceDN w:val="0"/>
        <w:bidi w:val="0"/>
        <w:adjustRightInd w:val="0"/>
        <w:snapToGrid w:val="0"/>
        <w:spacing w:before="161" w:beforeLines="50" w:line="240" w:lineRule="auto"/>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5、“医保编码”填国家医疗保障局对该耗材赋予的代码，且必须能在国家医疗保障局网站内查询到，如无填“无”。</w:t>
      </w:r>
    </w:p>
    <w:p w14:paraId="02BBB256">
      <w:pPr>
        <w:keepNext w:val="0"/>
        <w:keepLines w:val="0"/>
        <w:pageBreakBefore w:val="0"/>
        <w:widowControl w:val="0"/>
        <w:shd w:val="clear"/>
        <w:kinsoku/>
        <w:wordWrap/>
        <w:overflowPunct/>
        <w:topLinePunct w:val="0"/>
        <w:autoSpaceDE w:val="0"/>
        <w:autoSpaceDN w:val="0"/>
        <w:bidi w:val="0"/>
        <w:adjustRightInd w:val="0"/>
        <w:snapToGrid w:val="0"/>
        <w:spacing w:before="161" w:beforeLines="50" w:line="360" w:lineRule="auto"/>
        <w:jc w:val="left"/>
        <w:textAlignment w:val="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6、《分项报价表》中各包号响应折扣计算的响应价格与其自行填写的响应价格不一致时,以响应折扣计算的响应价格为准（响应价格保留小数点后两位，且不得四舍五入，如价格为人民币59.798元，响应价格填写59.79元）。</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br w:type="textWrapping"/>
      </w:r>
    </w:p>
    <w:p w14:paraId="2EF5FFA5">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供应商名称（单位盖章）：</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14:paraId="70C10AAB">
      <w:pPr>
        <w:shd w:val="clear"/>
        <w:autoSpaceDE w:val="0"/>
        <w:autoSpaceDN w:val="0"/>
        <w:adjustRightInd w:val="0"/>
        <w:snapToGrid w:val="0"/>
        <w:spacing w:before="161" w:beforeLines="50" w:line="240" w:lineRule="auto"/>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法定代表人或其授权的代理人（签字或盖章）：</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14:paraId="6F610E6A">
      <w:pPr>
        <w:shd w:val="clear"/>
        <w:autoSpaceDE w:val="0"/>
        <w:autoSpaceDN w:val="0"/>
        <w:adjustRightInd w:val="0"/>
        <w:snapToGrid w:val="0"/>
        <w:spacing w:before="161" w:beforeLines="50" w:line="240" w:lineRule="auto"/>
        <w:jc w:val="left"/>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sectPr>
          <w:headerReference r:id="rId8" w:type="default"/>
          <w:footerReference r:id="rId9" w:type="default"/>
          <w:pgSz w:w="16838" w:h="11906" w:orient="landscape"/>
          <w:pgMar w:top="1134" w:right="1800" w:bottom="993" w:left="1800" w:header="851" w:footer="992" w:gutter="0"/>
          <w:pgBorders>
            <w:top w:val="none" w:sz="0" w:space="0"/>
            <w:left w:val="none" w:sz="0" w:space="0"/>
            <w:bottom w:val="none" w:sz="0" w:space="0"/>
            <w:right w:val="none" w:sz="0" w:space="0"/>
          </w:pgBorders>
          <w:pgNumType w:fmt="decimal"/>
          <w:cols w:space="720" w:num="1"/>
          <w:docGrid w:type="lines" w:linePitch="323" w:charSpace="0"/>
        </w:sectPr>
      </w:pPr>
      <w:r>
        <w:rPr>
          <w:rFonts w:hint="eastAsia" w:ascii="仿宋" w:hAnsi="仿宋" w:eastAsia="仿宋" w:cs="仿宋"/>
          <w:color w:val="000000" w:themeColor="text1"/>
          <w:sz w:val="21"/>
          <w:szCs w:val="21"/>
          <w:highlight w:val="none"/>
          <w14:textFill>
            <w14:solidFill>
              <w14:schemeClr w14:val="tx1"/>
            </w14:solidFill>
          </w14:textFill>
        </w:rPr>
        <w:t>日期：</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14:paraId="59FD3DA1">
      <w:pPr>
        <w:shd w:val="clear"/>
        <w:adjustRightInd w:val="0"/>
        <w:snapToGrid w:val="0"/>
        <w:spacing w:line="500" w:lineRule="exact"/>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格式2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
          <w:color w:val="000000" w:themeColor="text1"/>
          <w:sz w:val="32"/>
          <w:szCs w:val="32"/>
          <w:highlight w:val="none"/>
          <w14:textFill>
            <w14:solidFill>
              <w14:schemeClr w14:val="tx1"/>
            </w14:solidFill>
          </w14:textFill>
        </w:rPr>
        <w:t xml:space="preserve"> 供应商按照格式2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
          <w:color w:val="000000" w:themeColor="text1"/>
          <w:sz w:val="32"/>
          <w:szCs w:val="32"/>
          <w:highlight w:val="none"/>
          <w14:textFill>
            <w14:solidFill>
              <w14:schemeClr w14:val="tx1"/>
            </w14:solidFill>
          </w14:textFill>
        </w:rPr>
        <w:t>《</w:t>
      </w:r>
      <w:r>
        <w:rPr>
          <w:rFonts w:hint="eastAsia" w:ascii="仿宋" w:hAnsi="仿宋" w:eastAsia="仿宋" w:cs="仿宋"/>
          <w:b/>
          <w:bCs w:val="0"/>
          <w:color w:val="000000" w:themeColor="text1"/>
          <w:sz w:val="32"/>
          <w:szCs w:val="32"/>
          <w:highlight w:val="none"/>
          <w14:textFill>
            <w14:solidFill>
              <w14:schemeClr w14:val="tx1"/>
            </w14:solidFill>
          </w14:textFill>
        </w:rPr>
        <w:t>分项报价明细表</w:t>
      </w:r>
      <w:r>
        <w:rPr>
          <w:rFonts w:hint="eastAsia" w:ascii="仿宋" w:hAnsi="仿宋" w:eastAsia="仿宋" w:cs="仿宋"/>
          <w:b/>
          <w:color w:val="000000" w:themeColor="text1"/>
          <w:sz w:val="32"/>
          <w:szCs w:val="32"/>
          <w:highlight w:val="none"/>
          <w14:textFill>
            <w14:solidFill>
              <w14:schemeClr w14:val="tx1"/>
            </w14:solidFill>
          </w14:textFill>
        </w:rPr>
        <w:t>》中目录序号的顺序提供以下资料：</w:t>
      </w:r>
    </w:p>
    <w:p w14:paraId="49FB0736">
      <w:pPr>
        <w:shd w:val="clear"/>
        <w:adjustRightInd w:val="0"/>
        <w:snapToGrid w:val="0"/>
        <w:spacing w:line="500" w:lineRule="exact"/>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2-1 所投产品规格型号在</w:t>
      </w:r>
      <w:r>
        <w:rPr>
          <w:rFonts w:hint="eastAsia" w:ascii="仿宋" w:hAnsi="仿宋" w:eastAsia="仿宋" w:cs="仿宋"/>
          <w:b/>
          <w:color w:val="000000" w:themeColor="text1"/>
          <w:sz w:val="28"/>
          <w:szCs w:val="28"/>
          <w:highlight w:val="none"/>
          <w:lang w:eastAsia="zh-CN"/>
          <w14:textFill>
            <w14:solidFill>
              <w14:schemeClr w14:val="tx1"/>
            </w14:solidFill>
          </w14:textFill>
        </w:rPr>
        <w:t>湖南省药品和医用耗材招采管理子系统</w:t>
      </w:r>
      <w:r>
        <w:rPr>
          <w:rFonts w:hint="eastAsia" w:ascii="仿宋" w:hAnsi="仿宋" w:eastAsia="仿宋" w:cs="仿宋"/>
          <w:b/>
          <w:color w:val="000000" w:themeColor="text1"/>
          <w:sz w:val="28"/>
          <w:szCs w:val="28"/>
          <w:highlight w:val="none"/>
          <w14:textFill>
            <w14:solidFill>
              <w14:schemeClr w14:val="tx1"/>
            </w14:solidFill>
          </w14:textFill>
        </w:rPr>
        <w:t>中的价格截图；（截图须清晰可见）。</w:t>
      </w:r>
    </w:p>
    <w:p w14:paraId="54FC32A0">
      <w:pPr>
        <w:shd w:val="clear"/>
        <w:adjustRightInd w:val="0"/>
        <w:snapToGrid w:val="0"/>
        <w:spacing w:line="500" w:lineRule="exact"/>
        <w:ind w:left="562" w:hanging="562" w:hangingChars="20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2-2 所投产品规格型号在备案凭证或注册证中有显著标记的（如所投产品为不列入医疗器械管理的范围，则在不列入医疗器械管理发文的文件中有显著标记的）；（截图须清晰可见）。</w:t>
      </w:r>
    </w:p>
    <w:p w14:paraId="7515C241">
      <w:pPr>
        <w:adjustRightInd w:val="0"/>
        <w:snapToGrid w:val="0"/>
        <w:spacing w:line="500" w:lineRule="exact"/>
        <w:ind w:left="562" w:hanging="562" w:hangingChars="200"/>
        <w:jc w:val="left"/>
        <w:rPr>
          <w:rFonts w:hint="eastAsia" w:ascii="宋体" w:hAnsi="宋体" w:cs="宋体"/>
          <w:b/>
          <w:color w:val="000000"/>
          <w:sz w:val="24"/>
          <w:highlight w:val="none"/>
        </w:rPr>
      </w:pPr>
      <w:r>
        <w:rPr>
          <w:rFonts w:hint="eastAsia" w:ascii="仿宋" w:hAnsi="仿宋" w:eastAsia="仿宋" w:cs="仿宋"/>
          <w:b/>
          <w:color w:val="000000" w:themeColor="text1"/>
          <w:sz w:val="28"/>
          <w:szCs w:val="28"/>
          <w:highlight w:val="none"/>
          <w14:textFill>
            <w14:solidFill>
              <w14:schemeClr w14:val="tx1"/>
            </w14:solidFill>
          </w14:textFill>
        </w:rPr>
        <w:t>2-3 消毒产品安全性评价报告复印件（产品纳入消毒产品管理的提供）</w:t>
      </w:r>
      <w:r>
        <w:rPr>
          <w:rFonts w:hint="eastAsia" w:ascii="仿宋" w:hAnsi="仿宋" w:eastAsia="仿宋" w:cs="仿宋"/>
          <w:b/>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b/>
          <w:color w:val="000000" w:themeColor="text1"/>
          <w:sz w:val="28"/>
          <w:szCs w:val="28"/>
          <w:highlight w:val="none"/>
          <w:lang w:val="en-US" w:eastAsia="zh-CN"/>
          <w14:textFill>
            <w14:solidFill>
              <w14:schemeClr w14:val="tx1"/>
            </w14:solidFill>
          </w14:textFill>
        </w:rPr>
        <w:t>2-4</w:t>
      </w:r>
      <w:r>
        <w:rPr>
          <w:rFonts w:hint="eastAsia" w:ascii="仿宋" w:hAnsi="仿宋" w:eastAsia="仿宋" w:cs="仿宋"/>
          <w:b/>
          <w:color w:val="000000" w:themeColor="text1"/>
          <w:sz w:val="28"/>
          <w:szCs w:val="28"/>
          <w:highlight w:val="none"/>
          <w14:textFill>
            <w14:solidFill>
              <w14:schemeClr w14:val="tx1"/>
            </w14:solidFill>
          </w14:textFill>
        </w:rPr>
        <w:t>、其他产品有效登记或注册证书复印件</w:t>
      </w:r>
    </w:p>
    <w:p w14:paraId="772688C2">
      <w:pPr>
        <w:pStyle w:val="35"/>
        <w:rPr>
          <w:rFonts w:hint="eastAsia"/>
          <w:highlight w:val="none"/>
        </w:rPr>
        <w:sectPr>
          <w:pgSz w:w="16838" w:h="11906" w:orient="landscape"/>
          <w:pgMar w:top="1134" w:right="1800" w:bottom="993" w:left="1800" w:header="851" w:footer="992" w:gutter="0"/>
          <w:pgBorders>
            <w:top w:val="none" w:sz="0" w:space="0"/>
            <w:left w:val="none" w:sz="0" w:space="0"/>
            <w:bottom w:val="none" w:sz="0" w:space="0"/>
            <w:right w:val="none" w:sz="0" w:space="0"/>
          </w:pgBorders>
          <w:pgNumType w:fmt="decimal"/>
          <w:cols w:space="720" w:num="1"/>
          <w:docGrid w:type="lines" w:linePitch="323" w:charSpace="0"/>
        </w:sectPr>
      </w:pPr>
    </w:p>
    <w:p w14:paraId="1D3E7A16">
      <w:pPr>
        <w:rPr>
          <w:rFonts w:hint="eastAsia" w:ascii="仿宋" w:hAnsi="仿宋" w:eastAsia="仿宋" w:cs="仿宋"/>
          <w:color w:val="000000" w:themeColor="text1"/>
          <w:sz w:val="28"/>
          <w:szCs w:val="28"/>
          <w:highlight w:val="none"/>
          <w14:textFill>
            <w14:solidFill>
              <w14:schemeClr w14:val="tx1"/>
            </w14:solidFill>
          </w14:textFill>
        </w:rPr>
      </w:pPr>
    </w:p>
    <w:p w14:paraId="00DE6D7F">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格式3：</w:t>
      </w:r>
    </w:p>
    <w:p w14:paraId="701B49E5">
      <w:pPr>
        <w:spacing w:line="480" w:lineRule="auto"/>
        <w:ind w:right="-397"/>
        <w:jc w:val="center"/>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申请函</w:t>
      </w:r>
    </w:p>
    <w:p w14:paraId="3D16D7A4">
      <w:pPr>
        <w:kinsoku w:val="0"/>
        <w:autoSpaceDE w:val="0"/>
        <w:autoSpaceDN w:val="0"/>
        <w:adjustRightInd w:val="0"/>
        <w:snapToGrid w:val="0"/>
        <w:spacing w:before="293" w:line="420" w:lineRule="exact"/>
        <w:ind w:left="0" w:firstLine="0" w:firstLineChars="0"/>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snapToGrid/>
          <w:color w:val="000000" w:themeColor="text1"/>
          <w:spacing w:val="0"/>
          <w:kern w:val="2"/>
          <w:sz w:val="21"/>
          <w:szCs w:val="21"/>
          <w:highlight w:val="none"/>
          <w:lang w:val="en-US" w:eastAsia="zh-CN" w:bidi="ar-SA"/>
          <w14:textFill>
            <w14:solidFill>
              <w14:schemeClr w14:val="tx1"/>
            </w14:solidFill>
          </w14:textFill>
        </w:rPr>
        <w:t>致</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仿宋" w:hAnsi="仿宋" w:eastAsia="仿宋" w:cs="仿宋"/>
          <w:b w:val="0"/>
          <w:bCs w:val="0"/>
          <w:snapToGrid/>
          <w:color w:val="000000" w:themeColor="text1"/>
          <w:spacing w:val="0"/>
          <w:kern w:val="2"/>
          <w:sz w:val="21"/>
          <w:szCs w:val="21"/>
          <w:highlight w:val="none"/>
          <w:lang w:val="en-US" w:eastAsia="zh-CN" w:bidi="ar-SA"/>
          <w14:textFill>
            <w14:solidFill>
              <w14:schemeClr w14:val="tx1"/>
            </w14:solidFill>
          </w14:textFill>
        </w:rPr>
        <w:t>：</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 xml:space="preserve"> </w:t>
      </w:r>
      <w:r>
        <w:rPr>
          <w:rFonts w:hint="eastAsia" w:ascii="仿宋" w:hAnsi="仿宋" w:eastAsia="仿宋" w:cs="仿宋"/>
          <w:snapToGrid/>
          <w:color w:val="000000" w:themeColor="text1"/>
          <w:spacing w:val="0"/>
          <w:kern w:val="2"/>
          <w:sz w:val="21"/>
          <w:szCs w:val="21"/>
          <w:highlight w:val="none"/>
          <w:u w:val="none"/>
          <w:lang w:val="en-US" w:eastAsia="zh-CN" w:bidi="ar-SA"/>
          <w14:textFill>
            <w14:solidFill>
              <w14:schemeClr w14:val="tx1"/>
            </w14:solidFill>
          </w14:textFill>
        </w:rPr>
        <w:t xml:space="preserve"> （采购人）</w:t>
      </w:r>
    </w:p>
    <w:p w14:paraId="33687B59">
      <w:pPr>
        <w:kinsoku w:val="0"/>
        <w:autoSpaceDE w:val="0"/>
        <w:autoSpaceDN w:val="0"/>
        <w:adjustRightInd w:val="0"/>
        <w:snapToGrid w:val="0"/>
        <w:spacing w:before="134" w:line="420" w:lineRule="exact"/>
        <w:ind w:firstLine="420" w:firstLineChars="200"/>
        <w:jc w:val="left"/>
        <w:textAlignment w:val="baseline"/>
        <w:rPr>
          <w:rFonts w:hint="eastAsia" w:ascii="仿宋" w:hAnsi="仿宋" w:eastAsia="仿宋" w:cs="仿宋"/>
          <w:snapToGrid/>
          <w:color w:val="000000" w:themeColor="text1"/>
          <w:kern w:val="2"/>
          <w:sz w:val="21"/>
          <w:highlight w:val="none"/>
          <w:lang w:eastAsia="zh-CN"/>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 xml:space="preserve">我/我单位作为 </w:t>
      </w:r>
      <w:r>
        <w:rPr>
          <w:rFonts w:hint="eastAsia" w:ascii="仿宋" w:hAnsi="仿宋" w:eastAsia="仿宋" w:cs="仿宋"/>
          <w:snapToGrid/>
          <w:color w:val="000000" w:themeColor="text1"/>
          <w:spacing w:val="0"/>
          <w:kern w:val="2"/>
          <w:sz w:val="21"/>
          <w:szCs w:val="21"/>
          <w:highlight w:val="none"/>
          <w:u w:val="none"/>
          <w:lang w:val="en-US" w:eastAsia="zh-CN" w:bidi="ar-SA"/>
          <w14:textFill>
            <w14:solidFill>
              <w14:schemeClr w14:val="tx1"/>
            </w14:solidFill>
          </w14:textFill>
        </w:rPr>
        <w:t xml:space="preserve"> {项目名称}   {包号}</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 xml:space="preserve"> :   </w:t>
      </w:r>
      <w:r>
        <w:rPr>
          <w:rFonts w:hint="eastAsia" w:ascii="仿宋" w:hAnsi="仿宋" w:eastAsia="仿宋" w:cs="仿宋"/>
          <w:snapToGrid/>
          <w:color w:val="000000" w:themeColor="text1"/>
          <w:spacing w:val="0"/>
          <w:kern w:val="2"/>
          <w:sz w:val="21"/>
          <w:szCs w:val="21"/>
          <w:highlight w:val="none"/>
          <w:u w:val="none"/>
          <w:lang w:val="en-US" w:eastAsia="zh-CN" w:bidi="ar-SA"/>
          <w14:textFill>
            <w14:solidFill>
              <w14:schemeClr w14:val="tx1"/>
            </w14:solidFill>
          </w14:textFill>
        </w:rPr>
        <w:t xml:space="preserve"> {包名称}</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 xml:space="preserve">  (项目编号：  </w:t>
      </w:r>
      <w:r>
        <w:rPr>
          <w:rFonts w:hint="eastAsia" w:ascii="仿宋" w:hAnsi="仿宋" w:eastAsia="仿宋" w:cs="仿宋"/>
          <w:snapToGrid/>
          <w:color w:val="000000" w:themeColor="text1"/>
          <w:spacing w:val="0"/>
          <w:kern w:val="2"/>
          <w:sz w:val="21"/>
          <w:szCs w:val="21"/>
          <w:highlight w:val="none"/>
          <w:u w:val="none"/>
          <w:lang w:val="en-US" w:eastAsia="zh-CN" w:bidi="ar-SA"/>
          <w14:textFill>
            <w14:solidFill>
              <w14:schemeClr w14:val="tx1"/>
            </w14:solidFill>
          </w14:textFill>
        </w:rPr>
        <w:t xml:space="preserve"> </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)的投标(响应)供应商，自愿参与本项目采购活动，充分理解遴选文件的要求，在此郑重声明及承诺：</w:t>
      </w:r>
    </w:p>
    <w:p w14:paraId="608105A2">
      <w:pPr>
        <w:kinsoku w:val="0"/>
        <w:autoSpaceDE w:val="0"/>
        <w:autoSpaceDN w:val="0"/>
        <w:adjustRightInd w:val="0"/>
        <w:snapToGrid w:val="0"/>
        <w:spacing w:before="62" w:line="420" w:lineRule="exact"/>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一 、我单位具有独立承担民事责任的能力；</w:t>
      </w:r>
    </w:p>
    <w:p w14:paraId="67032011">
      <w:pPr>
        <w:kinsoku w:val="0"/>
        <w:autoSpaceDE w:val="0"/>
        <w:autoSpaceDN w:val="0"/>
        <w:adjustRightInd w:val="0"/>
        <w:snapToGrid w:val="0"/>
        <w:spacing w:before="173" w:line="420" w:lineRule="exact"/>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t>二、我单位具有良好的商业信誉和健全的财务会计制度；</w:t>
      </w:r>
    </w:p>
    <w:p w14:paraId="34B7A7F0">
      <w:pPr>
        <w:kinsoku w:val="0"/>
        <w:autoSpaceDE w:val="0"/>
        <w:autoSpaceDN w:val="0"/>
        <w:adjustRightInd w:val="0"/>
        <w:snapToGrid w:val="0"/>
        <w:spacing w:before="156" w:line="420" w:lineRule="exact"/>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三、我单位具有履行合同所必需的设备和专业技术能</w:t>
      </w: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t>力；</w:t>
      </w:r>
    </w:p>
    <w:p w14:paraId="12B88237">
      <w:pPr>
        <w:kinsoku w:val="0"/>
        <w:autoSpaceDE w:val="0"/>
        <w:autoSpaceDN w:val="0"/>
        <w:adjustRightInd w:val="0"/>
        <w:snapToGrid w:val="0"/>
        <w:spacing w:before="163" w:line="420" w:lineRule="exact"/>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四 、我单位具有依法缴纳税收和社会保障资金的良好记录；</w:t>
      </w:r>
    </w:p>
    <w:p w14:paraId="7FFC75C4">
      <w:pPr>
        <w:kinsoku w:val="0"/>
        <w:autoSpaceDE w:val="0"/>
        <w:autoSpaceDN w:val="0"/>
        <w:adjustRightInd w:val="0"/>
        <w:snapToGrid w:val="0"/>
        <w:spacing w:before="145" w:line="420" w:lineRule="exact"/>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五、我单位参加</w:t>
      </w:r>
      <w:r>
        <w:rPr>
          <w:rFonts w:hint="default" w:ascii="仿宋" w:hAnsi="仿宋" w:eastAsia="仿宋" w:cs="仿宋"/>
          <w:color w:val="000000" w:themeColor="text1"/>
          <w:sz w:val="21"/>
          <w:szCs w:val="21"/>
          <w:highlight w:val="none"/>
          <w:lang w:val="en-US" w:eastAsia="en-US" w:bidi="ar-SA"/>
          <w14:textFill>
            <w14:solidFill>
              <w14:schemeClr w14:val="tx1"/>
            </w14:solidFill>
          </w14:textFill>
        </w:rPr>
        <w:t>招标活动前</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三年内，在经营活动中没有重大违法记录；</w:t>
      </w:r>
    </w:p>
    <w:p w14:paraId="26703EFE">
      <w:pPr>
        <w:kinsoku w:val="0"/>
        <w:autoSpaceDE w:val="0"/>
        <w:autoSpaceDN w:val="0"/>
        <w:adjustRightInd w:val="0"/>
        <w:snapToGrid w:val="0"/>
        <w:spacing w:before="174" w:line="420" w:lineRule="exact"/>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t>六、我单位满足遴选文件规定的特定条件；</w:t>
      </w:r>
    </w:p>
    <w:p w14:paraId="11845153">
      <w:pPr>
        <w:kinsoku w:val="0"/>
        <w:autoSpaceDE w:val="0"/>
        <w:autoSpaceDN w:val="0"/>
        <w:adjustRightInd w:val="0"/>
        <w:snapToGrid w:val="0"/>
        <w:spacing w:before="156" w:line="420" w:lineRule="exact"/>
        <w:ind w:right="14"/>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七、我单位不存在与</w:t>
      </w:r>
      <w:r>
        <w:rPr>
          <w:rFonts w:hint="default" w:ascii="仿宋" w:hAnsi="仿宋" w:eastAsia="仿宋" w:cs="仿宋"/>
          <w:color w:val="000000" w:themeColor="text1"/>
          <w:sz w:val="21"/>
          <w:szCs w:val="21"/>
          <w:highlight w:val="none"/>
          <w:lang w:val="en-US" w:eastAsia="en-US" w:bidi="ar-SA"/>
          <w14:textFill>
            <w14:solidFill>
              <w14:schemeClr w14:val="tx1"/>
            </w14:solidFill>
          </w14:textFill>
        </w:rPr>
        <w:t>单位负责人为同一人或者存在控股、管理关系的不同单位，不得同时参加同一包号的申请</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w:t>
      </w:r>
    </w:p>
    <w:p w14:paraId="1B553D30">
      <w:pPr>
        <w:kinsoku w:val="0"/>
        <w:autoSpaceDE w:val="0"/>
        <w:autoSpaceDN w:val="0"/>
        <w:adjustRightInd w:val="0"/>
        <w:snapToGrid w:val="0"/>
        <w:spacing w:before="164" w:line="420" w:lineRule="exact"/>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八、我单位不属于为本项目提供整体设计、规范编制或者项目管理、监理、检测等服务的供应商；</w:t>
      </w:r>
    </w:p>
    <w:p w14:paraId="34EA1EA5">
      <w:pPr>
        <w:kinsoku w:val="0"/>
        <w:autoSpaceDE w:val="0"/>
        <w:autoSpaceDN w:val="0"/>
        <w:adjustRightInd w:val="0"/>
        <w:snapToGrid w:val="0"/>
        <w:spacing w:before="165" w:line="420" w:lineRule="exact"/>
        <w:ind w:right="13"/>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九 、我单位不存在与其他供应商委托同一单位或者个人编制投标(响应)文件、办理投标(响应)事宜的情形；</w:t>
      </w:r>
    </w:p>
    <w:p w14:paraId="0A5B52AB">
      <w:pPr>
        <w:kinsoku w:val="0"/>
        <w:autoSpaceDE w:val="0"/>
        <w:autoSpaceDN w:val="0"/>
        <w:adjustRightInd w:val="0"/>
        <w:snapToGrid w:val="0"/>
        <w:spacing w:before="152" w:line="420" w:lineRule="exact"/>
        <w:ind w:right="13"/>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十、我单位一旦入围,将严格按照遴选文件规定在约定期限内签订采购合同，并严格履行合同规定的责任和义务；</w:t>
      </w:r>
    </w:p>
    <w:p w14:paraId="7B332629">
      <w:pPr>
        <w:kinsoku w:val="0"/>
        <w:autoSpaceDE w:val="0"/>
        <w:autoSpaceDN w:val="0"/>
        <w:adjustRightInd w:val="0"/>
        <w:snapToGrid w:val="0"/>
        <w:spacing w:before="160" w:line="420" w:lineRule="exact"/>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十一、我单位在本项目使用的任何技术、产品和服务(包括部分使用),不会产生因第三方提出侵犯其专利</w:t>
      </w: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t xml:space="preserve"> </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权、商标权或其它知识产权而引起的法律和经济纠纷，如因专利权、商标权或其它知识产权而引起法律和经济纠</w:t>
      </w: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t xml:space="preserve"> </w:t>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纷，由我单位承担所有相关责任；</w:t>
      </w:r>
    </w:p>
    <w:p w14:paraId="542CC481">
      <w:pPr>
        <w:kinsoku w:val="0"/>
        <w:autoSpaceDE w:val="0"/>
        <w:autoSpaceDN w:val="0"/>
        <w:adjustRightInd w:val="0"/>
        <w:snapToGrid w:val="0"/>
        <w:spacing w:before="154" w:line="420" w:lineRule="exact"/>
        <w:ind w:left="0" w:firstLine="0" w:firstLineChars="0"/>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十二、我单位完全接受和理解本项目遴选文件规定的实质性要求；</w:t>
      </w:r>
    </w:p>
    <w:p w14:paraId="01F68CE0">
      <w:pPr>
        <w:kinsoku w:val="0"/>
        <w:autoSpaceDE w:val="0"/>
        <w:autoSpaceDN w:val="0"/>
        <w:adjustRightInd w:val="0"/>
        <w:snapToGrid w:val="0"/>
        <w:spacing w:before="166" w:line="420" w:lineRule="exact"/>
        <w:ind w:left="0" w:firstLine="0" w:firstLineChars="0"/>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t>十三、我单位承诺，响应有效期为提交响应文件截止之日</w:t>
      </w:r>
      <w:r>
        <w:rPr>
          <w:rFonts w:hint="eastAsia" w:ascii="仿宋" w:hAnsi="仿宋" w:eastAsia="仿宋" w:cs="仿宋"/>
          <w:snapToGrid/>
          <w:color w:val="000000" w:themeColor="text1"/>
          <w:kern w:val="2"/>
          <w:sz w:val="21"/>
          <w:szCs w:val="21"/>
          <w:highlight w:val="none"/>
          <w:u w:val="none"/>
          <w:lang w:val="en-US" w:eastAsia="zh-CN" w:bidi="ar-SA"/>
          <w14:textFill>
            <w14:solidFill>
              <w14:schemeClr w14:val="tx1"/>
            </w14:solidFill>
          </w14:textFill>
        </w:rPr>
        <w:t>起</w:t>
      </w:r>
      <w:r>
        <w:rPr>
          <w:rFonts w:hint="eastAsia" w:ascii="仿宋" w:hAnsi="仿宋" w:eastAsia="仿宋" w:cs="仿宋"/>
          <w:snapToGrid/>
          <w:color w:val="000000" w:themeColor="text1"/>
          <w:spacing w:val="0"/>
          <w:kern w:val="2"/>
          <w:sz w:val="21"/>
          <w:szCs w:val="21"/>
          <w:highlight w:val="none"/>
          <w:u w:val="single"/>
          <w:lang w:val="en-US" w:eastAsia="zh-CN" w:bidi="ar-SA"/>
          <w14:textFill>
            <w14:solidFill>
              <w14:schemeClr w14:val="tx1"/>
            </w14:solidFill>
          </w14:textFill>
        </w:rPr>
        <w:t xml:space="preserve">  90 </w:t>
      </w: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t>天。</w:t>
      </w: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br w:type="textWrapping"/>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十四、</w:t>
      </w:r>
      <w:r>
        <w:rPr>
          <w:rFonts w:hint="eastAsia" w:ascii="仿宋" w:hAnsi="仿宋" w:eastAsia="仿宋" w:cs="仿宋"/>
          <w:color w:val="000000" w:themeColor="text1"/>
          <w:szCs w:val="21"/>
          <w:highlight w:val="none"/>
          <w14:textFill>
            <w14:solidFill>
              <w14:schemeClr w14:val="tx1"/>
            </w14:solidFill>
          </w14:textFill>
        </w:rPr>
        <w:t>如若入围，我公司保证按照入围目录产品及时向采购人进行供货，并确保产品安全、质量符合国家相关要求，积极配合接入医院的SPD系统管理；我方保证向采购人所提供货物的货源及质量真实、合法、有效，并愿承担因违反上述要求而造成的一切法律责任。</w:t>
      </w:r>
    </w:p>
    <w:p w14:paraId="49A17C0E">
      <w:pPr>
        <w:kinsoku w:val="0"/>
        <w:autoSpaceDE w:val="0"/>
        <w:autoSpaceDN w:val="0"/>
        <w:adjustRightInd w:val="0"/>
        <w:snapToGrid w:val="0"/>
        <w:spacing w:before="37" w:line="420" w:lineRule="exact"/>
        <w:ind w:right="14" w:firstLine="0" w:firstLineChars="0"/>
        <w:jc w:val="left"/>
        <w:textAlignment w:val="baseline"/>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如经查实上述承诺的内容事项存在虚假，我单位愿意接受以提供虚假材料谋取入围、</w:t>
      </w:r>
      <w:r>
        <w:rPr>
          <w:rFonts w:hint="eastAsia" w:ascii="仿宋" w:hAnsi="仿宋" w:eastAsia="仿宋" w:cs="仿宋"/>
          <w:snapToGrid/>
          <w:color w:val="000000" w:themeColor="text1"/>
          <w:kern w:val="2"/>
          <w:sz w:val="21"/>
          <w:szCs w:val="21"/>
          <w:highlight w:val="none"/>
          <w:lang w:val="en-US" w:eastAsia="zh-CN" w:bidi="ar-SA"/>
          <w14:textFill>
            <w14:solidFill>
              <w14:schemeClr w14:val="tx1"/>
            </w14:solidFill>
          </w14:textFill>
        </w:rPr>
        <w:t xml:space="preserve"> 成交的法律责任。</w:t>
      </w:r>
    </w:p>
    <w:p w14:paraId="527041D3">
      <w:pPr>
        <w:widowControl/>
        <w:kinsoku w:val="0"/>
        <w:autoSpaceDE w:val="0"/>
        <w:autoSpaceDN w:val="0"/>
        <w:adjustRightInd w:val="0"/>
        <w:snapToGrid w:val="0"/>
        <w:spacing w:line="420" w:lineRule="exact"/>
        <w:ind w:firstLine="0" w:firstLineChars="0"/>
        <w:jc w:val="left"/>
        <w:textAlignment w:val="baseline"/>
        <w:rPr>
          <w:rFonts w:hint="eastAsia" w:ascii="仿宋" w:hAnsi="仿宋" w:eastAsia="仿宋" w:cs="仿宋"/>
          <w:snapToGrid/>
          <w:color w:val="000000" w:themeColor="text1"/>
          <w:kern w:val="2"/>
          <w:sz w:val="21"/>
          <w:highlight w:val="none"/>
          <w:lang w:eastAsia="en-US"/>
          <w14:textFill>
            <w14:solidFill>
              <w14:schemeClr w14:val="tx1"/>
            </w14:solidFill>
          </w14:textFill>
        </w:rPr>
      </w:pP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br w:type="textWrapping"/>
      </w:r>
      <w:r>
        <w:rPr>
          <w:rFonts w:hint="eastAsia" w:ascii="仿宋" w:hAnsi="仿宋" w:eastAsia="仿宋" w:cs="仿宋"/>
          <w:snapToGrid/>
          <w:color w:val="000000" w:themeColor="text1"/>
          <w:spacing w:val="0"/>
          <w:kern w:val="2"/>
          <w:sz w:val="21"/>
          <w:szCs w:val="21"/>
          <w:highlight w:val="none"/>
          <w:lang w:val="en-US" w:eastAsia="zh-CN" w:bidi="ar-SA"/>
          <w14:textFill>
            <w14:solidFill>
              <w14:schemeClr w14:val="tx1"/>
            </w14:solidFill>
          </w14:textFill>
        </w:rPr>
        <w:t>特此声明。</w:t>
      </w:r>
    </w:p>
    <w:p w14:paraId="0D0DD090">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highlight w:val="none"/>
          <w:lang w:eastAsia="en-US"/>
        </w:rPr>
      </w:pPr>
    </w:p>
    <w:p w14:paraId="1349E951">
      <w:pPr>
        <w:widowControl/>
        <w:adjustRightInd w:val="0"/>
        <w:snapToGrid w:val="0"/>
        <w:spacing w:line="360" w:lineRule="auto"/>
        <w:jc w:val="righ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供应商名称(公章)：</w:t>
      </w:r>
    </w:p>
    <w:p w14:paraId="67A598C9">
      <w:pPr>
        <w:ind w:firstLine="6206" w:firstLineChars="2900"/>
        <w:rPr>
          <w:color w:val="000000" w:themeColor="text1"/>
          <w:highlight w:val="none"/>
          <w14:textFill>
            <w14:solidFill>
              <w14:schemeClr w14:val="tx1"/>
            </w14:solidFill>
          </w14:textFill>
        </w:rPr>
      </w:pPr>
      <w:r>
        <w:rPr>
          <w:rFonts w:hint="eastAsia" w:ascii="仿宋" w:hAnsi="仿宋" w:eastAsia="仿宋" w:cs="仿宋"/>
          <w:bCs/>
          <w:color w:val="000000" w:themeColor="text1"/>
          <w:spacing w:val="2"/>
          <w:highlight w:val="none"/>
          <w14:textFill>
            <w14:solidFill>
              <w14:schemeClr w14:val="tx1"/>
            </w14:solidFill>
          </w14:textFill>
        </w:rPr>
        <w:t>日期：    年  月  日</w:t>
      </w:r>
    </w:p>
    <w:p w14:paraId="1B3C401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6E34E3B">
      <w:pPr>
        <w:pStyle w:val="31"/>
        <w:rPr>
          <w:rFonts w:hint="default" w:ascii="仿宋" w:hAnsi="仿宋" w:eastAsia="仿宋" w:cs="仿宋"/>
          <w:b/>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格式4;</w:t>
      </w:r>
    </w:p>
    <w:p w14:paraId="693D06E5">
      <w:pPr>
        <w:adjustRightInd w:val="0"/>
        <w:snapToGrid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利益回避承诺书</w:t>
      </w:r>
    </w:p>
    <w:p w14:paraId="653E7ABF">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p>
    <w:p w14:paraId="28F7DF62">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我单位郑重声明如下：</w:t>
      </w:r>
    </w:p>
    <w:p w14:paraId="48417EF4">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一、我单位是按照中华人民共和国法律规定登记注册的，注册地点为______________，全称为__________，统一社会信用代码为____________________，法定代表人（单位负责人）为_______________，具有独立承担民事责任的能力。</w:t>
      </w:r>
    </w:p>
    <w:p w14:paraId="13B03401">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二、我单位本次投标不存在以下情形：</w:t>
      </w:r>
    </w:p>
    <w:p w14:paraId="69C7CA46">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1.提供虚假材料谋取中标、成交；</w:t>
      </w:r>
    </w:p>
    <w:p w14:paraId="30A7DD4F">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2.采取不正当手段诋毁、排挤其他供应商；</w:t>
      </w:r>
    </w:p>
    <w:p w14:paraId="32E1FF89">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3.与采购人、其他供应商或者采购代理机构恶意串通；</w:t>
      </w:r>
    </w:p>
    <w:p w14:paraId="2314EA76">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4.向采购人、采购代理机构行贿或者提供其他不正当利益；</w:t>
      </w:r>
    </w:p>
    <w:p w14:paraId="0C21FB85">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.我单位和相关控股单位同时参与本次项目投标。</w:t>
      </w:r>
    </w:p>
    <w:p w14:paraId="0EBADBE3">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三、本次采购活动前3年内，采购人（采购人代表及相关人员）与我单位存在利害关系信息如下（如无，填写“无”）：</w:t>
      </w:r>
    </w:p>
    <w:p w14:paraId="31923A47">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1.与我单位存在劳动关系如下：__________________；</w:t>
      </w:r>
    </w:p>
    <w:p w14:paraId="51D29314">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2.任我单位董事、监事等职务如下：____________________；</w:t>
      </w:r>
    </w:p>
    <w:p w14:paraId="16614594">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 任我单位控股股东或者实际控制人如下：____________________；</w:t>
      </w:r>
    </w:p>
    <w:p w14:paraId="2CB6F40B">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 与我单位的法定代表人或者负责人有夫妻、直系血亲、三代以内旁系血亲或者近姻亲关系如下：_________________；</w:t>
      </w:r>
    </w:p>
    <w:p w14:paraId="01BD0318">
      <w:pPr>
        <w:widowControl/>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 与我单位有其他可能影响政府采购活动公平、公正进行的关系如下：_____________。</w:t>
      </w:r>
    </w:p>
    <w:p w14:paraId="4B2C72EE">
      <w:pPr>
        <w:snapToGrid w:val="0"/>
        <w:spacing w:line="42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我单位保证上述声明的事项都是真实的，如有虚假，我单位愿意承担相应的法律责任，并承担因此所造成的一切损失。</w:t>
      </w:r>
    </w:p>
    <w:p w14:paraId="0341EBAF">
      <w:pPr>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p>
    <w:p w14:paraId="12FB4D2D">
      <w:pPr>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供应商名称(单位盖章)：____________________</w:t>
      </w:r>
    </w:p>
    <w:p w14:paraId="4DCC7E75">
      <w:pPr>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p>
    <w:p w14:paraId="391C2772">
      <w:pPr>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法定代表人或其委托代理人 （签字或盖章）：____________________</w:t>
      </w:r>
    </w:p>
    <w:p w14:paraId="08220B32">
      <w:pPr>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p>
    <w:p w14:paraId="1D143B48">
      <w:pPr>
        <w:snapToGrid w:val="0"/>
        <w:spacing w:line="42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日期：_______年_______月_______日</w:t>
      </w:r>
    </w:p>
    <w:p w14:paraId="2C3302E3">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3C028E1D">
      <w:pPr>
        <w:rPr>
          <w:rFonts w:hint="eastAsia" w:ascii="仿宋" w:hAnsi="仿宋" w:eastAsia="仿宋" w:cs="仿宋"/>
          <w:color w:val="000000" w:themeColor="text1"/>
          <w:sz w:val="28"/>
          <w:szCs w:val="28"/>
          <w:highlight w:val="none"/>
          <w14:textFill>
            <w14:solidFill>
              <w14:schemeClr w14:val="tx1"/>
            </w14:solidFill>
          </w14:textFill>
        </w:rPr>
      </w:pPr>
    </w:p>
    <w:p w14:paraId="4912CB99">
      <w:pPr>
        <w:adjustRightInd w:val="0"/>
        <w:snapToGrid w:val="0"/>
        <w:spacing w:line="360" w:lineRule="auto"/>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格式5：</w:t>
      </w:r>
    </w:p>
    <w:p w14:paraId="711976FC">
      <w:pPr>
        <w:jc w:val="left"/>
        <w:rPr>
          <w:rFonts w:hint="eastAsia" w:ascii="仿宋" w:hAnsi="仿宋" w:eastAsia="仿宋" w:cs="仿宋"/>
          <w:color w:val="000000" w:themeColor="text1"/>
          <w:sz w:val="24"/>
          <w:szCs w:val="24"/>
          <w:highlight w:val="none"/>
          <w14:textFill>
            <w14:solidFill>
              <w14:schemeClr w14:val="tx1"/>
            </w14:solidFill>
          </w14:textFill>
        </w:rPr>
      </w:pPr>
    </w:p>
    <w:p w14:paraId="78F6898B">
      <w:pPr>
        <w:pStyle w:val="199"/>
        <w:adjustRightInd w:val="0"/>
        <w:snapToGrid w:val="0"/>
        <w:spacing w:line="360" w:lineRule="auto"/>
        <w:jc w:val="center"/>
        <w:rPr>
          <w:rFonts w:hint="eastAsia" w:ascii="仿宋" w:hAnsi="仿宋" w:eastAsia="仿宋" w:cs="仿宋"/>
          <w:b/>
          <w:bCs/>
          <w:color w:val="000000" w:themeColor="text1"/>
          <w:szCs w:val="22"/>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技术/商务偏离表</w:t>
      </w:r>
    </w:p>
    <w:p w14:paraId="25079E32">
      <w:pPr>
        <w:pStyle w:val="200"/>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项目编号：</w:t>
      </w:r>
      <w:r>
        <w:rPr>
          <w:rFonts w:hint="eastAsia" w:ascii="仿宋" w:hAnsi="仿宋" w:eastAsia="仿宋" w:cs="仿宋"/>
          <w:color w:val="000000" w:themeColor="text1"/>
          <w:szCs w:val="21"/>
          <w:highlight w:val="none"/>
          <w:u w:val="single"/>
          <w14:textFill>
            <w14:solidFill>
              <w14:schemeClr w14:val="tx1"/>
            </w14:solidFill>
          </w14:textFill>
        </w:rPr>
        <w:t>__    ________</w:t>
      </w:r>
      <w:r>
        <w:rPr>
          <w:rFonts w:hint="eastAsia" w:ascii="仿宋" w:hAnsi="仿宋" w:eastAsia="仿宋" w:cs="仿宋"/>
          <w:color w:val="000000" w:themeColor="text1"/>
          <w:szCs w:val="21"/>
          <w:highlight w:val="none"/>
          <w14:textFill>
            <w14:solidFill>
              <w14:schemeClr w14:val="tx1"/>
            </w14:solidFill>
          </w14:textFill>
        </w:rPr>
        <w:t xml:space="preserve">                    项目名称：</w:t>
      </w:r>
      <w:r>
        <w:rPr>
          <w:rFonts w:hint="eastAsia" w:ascii="仿宋" w:hAnsi="仿宋" w:eastAsia="仿宋" w:cs="仿宋"/>
          <w:color w:val="000000" w:themeColor="text1"/>
          <w:szCs w:val="21"/>
          <w:highlight w:val="none"/>
          <w:u w:val="single"/>
          <w14:textFill>
            <w14:solidFill>
              <w14:schemeClr w14:val="tx1"/>
            </w14:solidFill>
          </w14:textFill>
        </w:rPr>
        <w:t>____            _____</w:t>
      </w:r>
    </w:p>
    <w:p w14:paraId="304CB204">
      <w:pPr>
        <w:pStyle w:val="200"/>
        <w:adjustRightInd w:val="0"/>
        <w:snapToGrid w:val="0"/>
        <w:spacing w:line="360" w:lineRule="auto"/>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包号：</w:t>
      </w:r>
      <w:r>
        <w:rPr>
          <w:rFonts w:hint="eastAsia" w:ascii="仿宋" w:hAnsi="仿宋" w:eastAsia="仿宋" w:cs="仿宋"/>
          <w:color w:val="000000" w:themeColor="text1"/>
          <w:szCs w:val="21"/>
          <w:highlight w:val="none"/>
          <w:u w:val="single"/>
          <w14:textFill>
            <w14:solidFill>
              <w14:schemeClr w14:val="tx1"/>
            </w14:solidFill>
          </w14:textFill>
        </w:rPr>
        <w:t xml:space="preserve">__    ________   </w:t>
      </w:r>
      <w:r>
        <w:rPr>
          <w:rFonts w:hint="eastAsia" w:ascii="仿宋" w:hAnsi="仿宋" w:eastAsia="仿宋" w:cs="仿宋"/>
          <w:color w:val="000000" w:themeColor="text1"/>
          <w:szCs w:val="21"/>
          <w:highlight w:val="none"/>
          <w14:textFill>
            <w14:solidFill>
              <w14:schemeClr w14:val="tx1"/>
            </w14:solidFill>
          </w14:textFill>
        </w:rPr>
        <w:t xml:space="preserve">                     包名称：</w:t>
      </w:r>
      <w:r>
        <w:rPr>
          <w:rFonts w:hint="eastAsia" w:ascii="仿宋" w:hAnsi="仿宋" w:eastAsia="仿宋" w:cs="仿宋"/>
          <w:color w:val="000000" w:themeColor="text1"/>
          <w:szCs w:val="21"/>
          <w:highlight w:val="none"/>
          <w:u w:val="single"/>
          <w14:textFill>
            <w14:solidFill>
              <w14:schemeClr w14:val="tx1"/>
            </w14:solidFill>
          </w14:textFill>
        </w:rPr>
        <w:t xml:space="preserve">__    ________  </w:t>
      </w:r>
    </w:p>
    <w:p w14:paraId="095612BB">
      <w:pPr>
        <w:adjustRightInd w:val="0"/>
        <w:snapToGrid w:val="0"/>
        <w:spacing w:line="360" w:lineRule="auto"/>
        <w:rPr>
          <w:rFonts w:hint="eastAsia" w:ascii="仿宋" w:hAnsi="仿宋" w:eastAsia="仿宋" w:cs="仿宋"/>
          <w:color w:val="000000" w:themeColor="text1"/>
          <w:highlight w:val="none"/>
          <w14:textFill>
            <w14:solidFill>
              <w14:schemeClr w14:val="tx1"/>
            </w14:solidFill>
          </w14:textFill>
        </w:rPr>
      </w:pPr>
    </w:p>
    <w:tbl>
      <w:tblPr>
        <w:tblStyle w:val="3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65"/>
        <w:gridCol w:w="1432"/>
        <w:gridCol w:w="1471"/>
        <w:gridCol w:w="2300"/>
        <w:gridCol w:w="1734"/>
      </w:tblGrid>
      <w:tr w14:paraId="01E8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76" w:type="dxa"/>
            <w:vAlign w:val="center"/>
          </w:tcPr>
          <w:p w14:paraId="46194A27">
            <w:pPr>
              <w:widowControl/>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465" w:type="dxa"/>
            <w:vAlign w:val="center"/>
          </w:tcPr>
          <w:p w14:paraId="533E992D">
            <w:pPr>
              <w:widowControl/>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遴选文件章节条款号</w:t>
            </w:r>
          </w:p>
        </w:tc>
        <w:tc>
          <w:tcPr>
            <w:tcW w:w="1432" w:type="dxa"/>
            <w:vAlign w:val="center"/>
          </w:tcPr>
          <w:p w14:paraId="2387397A">
            <w:pPr>
              <w:widowControl/>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遴选文件要求</w:t>
            </w:r>
          </w:p>
        </w:tc>
        <w:tc>
          <w:tcPr>
            <w:tcW w:w="1471" w:type="dxa"/>
            <w:vAlign w:val="center"/>
          </w:tcPr>
          <w:p w14:paraId="15B4C6E7">
            <w:pPr>
              <w:widowControl/>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响应文件应答</w:t>
            </w:r>
          </w:p>
        </w:tc>
        <w:tc>
          <w:tcPr>
            <w:tcW w:w="2300" w:type="dxa"/>
            <w:vAlign w:val="center"/>
          </w:tcPr>
          <w:p w14:paraId="533F4DA1">
            <w:pPr>
              <w:widowControl/>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响应要求（正偏离/无偏离/负偏离）</w:t>
            </w:r>
          </w:p>
        </w:tc>
        <w:tc>
          <w:tcPr>
            <w:tcW w:w="1734" w:type="dxa"/>
            <w:vAlign w:val="center"/>
          </w:tcPr>
          <w:p w14:paraId="3E91FECB">
            <w:pPr>
              <w:widowControl/>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tc>
      </w:tr>
      <w:tr w14:paraId="33C2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4ED2E719">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65" w:type="dxa"/>
          </w:tcPr>
          <w:p w14:paraId="0BF88B45">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32" w:type="dxa"/>
          </w:tcPr>
          <w:p w14:paraId="590390BC">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71" w:type="dxa"/>
          </w:tcPr>
          <w:p w14:paraId="78D45EC0">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00" w:type="dxa"/>
          </w:tcPr>
          <w:p w14:paraId="0643DF85">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734" w:type="dxa"/>
          </w:tcPr>
          <w:p w14:paraId="74E296DA">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57B6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3ABDDF99">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65" w:type="dxa"/>
          </w:tcPr>
          <w:p w14:paraId="2137C5DA">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32" w:type="dxa"/>
          </w:tcPr>
          <w:p w14:paraId="73AE0ACB">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71" w:type="dxa"/>
          </w:tcPr>
          <w:p w14:paraId="76E0FC56">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00" w:type="dxa"/>
          </w:tcPr>
          <w:p w14:paraId="303D7358">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734" w:type="dxa"/>
          </w:tcPr>
          <w:p w14:paraId="407EB370">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5BFE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132E2D44">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65" w:type="dxa"/>
          </w:tcPr>
          <w:p w14:paraId="6D8B3828">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32" w:type="dxa"/>
          </w:tcPr>
          <w:p w14:paraId="10F6480D">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71" w:type="dxa"/>
          </w:tcPr>
          <w:p w14:paraId="5336D564">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00" w:type="dxa"/>
          </w:tcPr>
          <w:p w14:paraId="79A53FC8">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734" w:type="dxa"/>
          </w:tcPr>
          <w:p w14:paraId="538CCF6B">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6571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413CCEA1">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65" w:type="dxa"/>
          </w:tcPr>
          <w:p w14:paraId="54CFCF21">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32" w:type="dxa"/>
          </w:tcPr>
          <w:p w14:paraId="4349FA42">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71" w:type="dxa"/>
          </w:tcPr>
          <w:p w14:paraId="08128495">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00" w:type="dxa"/>
          </w:tcPr>
          <w:p w14:paraId="4974E9FF">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734" w:type="dxa"/>
          </w:tcPr>
          <w:p w14:paraId="2541B960">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1DC5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47BA9DFA">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65" w:type="dxa"/>
          </w:tcPr>
          <w:p w14:paraId="5D4B6186">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32" w:type="dxa"/>
          </w:tcPr>
          <w:p w14:paraId="2FE94C7D">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71" w:type="dxa"/>
          </w:tcPr>
          <w:p w14:paraId="24282616">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00" w:type="dxa"/>
          </w:tcPr>
          <w:p w14:paraId="3349E931">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734" w:type="dxa"/>
          </w:tcPr>
          <w:p w14:paraId="3583D66A">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04FC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6" w:type="dxa"/>
          </w:tcPr>
          <w:p w14:paraId="3D57E9F8">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65" w:type="dxa"/>
          </w:tcPr>
          <w:p w14:paraId="70B79C31">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32" w:type="dxa"/>
          </w:tcPr>
          <w:p w14:paraId="4EF0007B">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71" w:type="dxa"/>
          </w:tcPr>
          <w:p w14:paraId="684F521C">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00" w:type="dxa"/>
          </w:tcPr>
          <w:p w14:paraId="460DFDCC">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734" w:type="dxa"/>
          </w:tcPr>
          <w:p w14:paraId="21CE5E18">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5A3B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63681D53">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65" w:type="dxa"/>
          </w:tcPr>
          <w:p w14:paraId="2C39F516">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32" w:type="dxa"/>
          </w:tcPr>
          <w:p w14:paraId="467C111A">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471" w:type="dxa"/>
          </w:tcPr>
          <w:p w14:paraId="20A8F08F">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300" w:type="dxa"/>
          </w:tcPr>
          <w:p w14:paraId="0C2156D3">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734" w:type="dxa"/>
          </w:tcPr>
          <w:p w14:paraId="760C8AF4">
            <w:pPr>
              <w:widowControl/>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68AA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78" w:type="dxa"/>
            <w:gridSpan w:val="6"/>
          </w:tcPr>
          <w:p w14:paraId="40BE8967">
            <w:pPr>
              <w:adjustRightInd w:val="0"/>
              <w:snapToGrid w:val="0"/>
              <w:spacing w:line="360" w:lineRule="auto"/>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投标人保证：除本采购需求偏离表列出的偏离外，我单位对遴选文件的其他采购需求条款完全响应，无偏离。</w:t>
            </w:r>
            <w:r>
              <w:rPr>
                <w:rFonts w:hint="eastAsia" w:ascii="仿宋" w:hAnsi="仿宋" w:eastAsia="仿宋" w:cs="仿宋"/>
                <w:color w:val="000000" w:themeColor="text1"/>
                <w:highlight w:val="none"/>
                <w14:textFill>
                  <w14:solidFill>
                    <w14:schemeClr w14:val="tx1"/>
                  </w14:solidFill>
                </w14:textFill>
              </w:rPr>
              <w:t xml:space="preserve">  </w:t>
            </w:r>
          </w:p>
        </w:tc>
      </w:tr>
    </w:tbl>
    <w:p w14:paraId="37FFE737">
      <w:pPr>
        <w:adjustRightInd w:val="0"/>
        <w:snapToGrid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备注</w:t>
      </w:r>
      <w:r>
        <w:rPr>
          <w:rFonts w:hint="eastAsia" w:ascii="仿宋" w:hAnsi="仿宋" w:eastAsia="仿宋" w:cs="仿宋"/>
          <w:color w:val="000000" w:themeColor="text1"/>
          <w:highlight w:val="none"/>
          <w14:textFill>
            <w14:solidFill>
              <w14:schemeClr w14:val="tx1"/>
            </w14:solidFill>
          </w14:textFill>
        </w:rPr>
        <w:t>：</w:t>
      </w:r>
    </w:p>
    <w:p w14:paraId="6F55F82D">
      <w:pPr>
        <w:adjustRightInd w:val="0"/>
        <w:snapToGrid w:val="0"/>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1 、偏离为不满足遴选文件要求；</w:t>
      </w:r>
    </w:p>
    <w:p w14:paraId="501ED653">
      <w:pPr>
        <w:adjustRightInd w:val="0"/>
        <w:snapToGrid w:val="0"/>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2、供应商如果对遴选文件第三章“采购需求”的响应有偏离，应将偏离条款逐条如实应答，并作出说明；</w:t>
      </w:r>
    </w:p>
    <w:p w14:paraId="4A111148">
      <w:pPr>
        <w:adjustRightInd w:val="0"/>
        <w:snapToGrid w:val="0"/>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3、如不提供此表，则视为供应商不满足遴选文件第三章的所有技术/商务条款要求，其投标无效。</w:t>
      </w:r>
    </w:p>
    <w:p w14:paraId="0BD0DCEA">
      <w:pPr>
        <w:adjustRightInd w:val="0"/>
        <w:snapToGrid w:val="0"/>
        <w:spacing w:line="360" w:lineRule="auto"/>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4、在采购人与入围供应商签订合同时，如入围供应商未在响应文件“技术/商务偏离表”中列出偏离说明，无论已发生或即将发生任何情形，均视为完全符合遴选文件要求，并写入合同。若入围供应商在合同签订前，以上述事项为借口而不履行合同签订手续及执行合同，则视作拒绝与招标人签订合同。</w:t>
      </w:r>
    </w:p>
    <w:p w14:paraId="66B7A3BE">
      <w:pPr>
        <w:adjustRightInd w:val="0"/>
        <w:snapToGrid w:val="0"/>
        <w:spacing w:line="360" w:lineRule="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14:paraId="2E11ACB5">
      <w:pPr>
        <w:adjustRightInd w:val="0"/>
        <w:snapToGrid w:val="0"/>
        <w:spacing w:line="360" w:lineRule="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投标人名称（单位公章）：</w:t>
      </w:r>
    </w:p>
    <w:p w14:paraId="771B58D1">
      <w:pPr>
        <w:adjustRightInd w:val="0"/>
        <w:snapToGrid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w:t>
      </w:r>
      <w:r>
        <w:rPr>
          <w:rFonts w:hint="eastAsia" w:ascii="仿宋" w:hAnsi="仿宋" w:eastAsia="仿宋" w:cs="仿宋"/>
          <w:color w:val="000000" w:themeColor="text1"/>
          <w:highlight w:val="none"/>
          <w:u w:val="single"/>
          <w14:textFill>
            <w14:solidFill>
              <w14:schemeClr w14:val="tx1"/>
            </w14:solidFill>
          </w14:textFill>
        </w:rPr>
        <w:t>   </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u w:val="single"/>
          <w14:textFill>
            <w14:solidFill>
              <w14:schemeClr w14:val="tx1"/>
            </w14:solidFill>
          </w14:textFill>
        </w:rPr>
        <w:t>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u w:val="single"/>
          <w14:textFill>
            <w14:solidFill>
              <w14:schemeClr w14:val="tx1"/>
            </w14:solidFill>
          </w14:textFill>
        </w:rPr>
        <w:t>  </w:t>
      </w:r>
      <w:r>
        <w:rPr>
          <w:rFonts w:hint="eastAsia" w:ascii="仿宋" w:hAnsi="仿宋" w:eastAsia="仿宋" w:cs="仿宋"/>
          <w:color w:val="000000" w:themeColor="text1"/>
          <w:highlight w:val="none"/>
          <w14:textFill>
            <w14:solidFill>
              <w14:schemeClr w14:val="tx1"/>
            </w14:solidFill>
          </w14:textFill>
        </w:rPr>
        <w:t>日</w:t>
      </w:r>
    </w:p>
    <w:p w14:paraId="6F2B4B8D">
      <w:pP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br w:type="page"/>
      </w:r>
    </w:p>
    <w:p w14:paraId="6AFE435A">
      <w:pPr>
        <w:pStyle w:val="14"/>
        <w:rPr>
          <w:color w:val="000000" w:themeColor="text1"/>
          <w:highlight w:val="none"/>
          <w14:textFill>
            <w14:solidFill>
              <w14:schemeClr w14:val="tx1"/>
            </w14:solidFill>
          </w14:textFill>
        </w:rPr>
      </w:pPr>
    </w:p>
    <w:p w14:paraId="376AB986">
      <w:pPr>
        <w:widowControl/>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格式6： </w:t>
      </w:r>
    </w:p>
    <w:p w14:paraId="145C1DD4">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法定代表人身份证明</w:t>
      </w:r>
    </w:p>
    <w:p w14:paraId="2CF100D2">
      <w:pPr>
        <w:snapToGrid w:val="0"/>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34B9319C">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供应商名称：</w:t>
      </w:r>
    </w:p>
    <w:p w14:paraId="3FB105CA">
      <w:pPr>
        <w:snapToGrid w:val="0"/>
        <w:spacing w:line="360" w:lineRule="auto"/>
        <w:rPr>
          <w:rFonts w:hint="eastAsia" w:ascii="仿宋" w:hAnsi="仿宋" w:eastAsia="仿宋" w:cs="仿宋"/>
          <w:color w:val="000000" w:themeColor="text1"/>
          <w:szCs w:val="20"/>
          <w:highlight w:val="none"/>
          <w:u w:val="singl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单位性质：</w:t>
      </w:r>
    </w:p>
    <w:p w14:paraId="0537E13D">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地址：</w:t>
      </w:r>
    </w:p>
    <w:p w14:paraId="4BC8A63E">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成立时间：年月日</w:t>
      </w:r>
    </w:p>
    <w:p w14:paraId="6B9E847E">
      <w:pPr>
        <w:snapToGrid w:val="0"/>
        <w:spacing w:line="360" w:lineRule="auto"/>
        <w:rPr>
          <w:rFonts w:hint="eastAsia" w:ascii="仿宋" w:hAnsi="仿宋" w:eastAsia="仿宋" w:cs="仿宋"/>
          <w:color w:val="000000" w:themeColor="text1"/>
          <w:szCs w:val="20"/>
          <w:highlight w:val="none"/>
          <w:u w:val="singl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经营期限：</w:t>
      </w:r>
    </w:p>
    <w:p w14:paraId="3B4DCC29">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经营范围：</w:t>
      </w:r>
    </w:p>
    <w:p w14:paraId="329E1A6F">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姓 名：性 别：</w:t>
      </w:r>
    </w:p>
    <w:p w14:paraId="7668F07C">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年 龄：职 务：</w:t>
      </w:r>
    </w:p>
    <w:p w14:paraId="32DEAEEC">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系（供应商名称）的法定代表人。</w:t>
      </w:r>
    </w:p>
    <w:p w14:paraId="23E9608A">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特此证明。</w:t>
      </w:r>
    </w:p>
    <w:p w14:paraId="4B294894">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附：法定代表人二代身份证复印件</w:t>
      </w:r>
    </w:p>
    <w:p w14:paraId="09D22352">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p>
    <w:p w14:paraId="5DA1B430">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p>
    <w:p w14:paraId="1F8A8682">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p>
    <w:p w14:paraId="2056E060">
      <w:pPr>
        <w:snapToGrid w:val="0"/>
        <w:spacing w:line="360" w:lineRule="auto"/>
        <w:rPr>
          <w:rFonts w:hint="eastAsia" w:ascii="仿宋" w:hAnsi="仿宋" w:eastAsia="仿宋" w:cs="仿宋"/>
          <w:color w:val="000000" w:themeColor="text1"/>
          <w:szCs w:val="20"/>
          <w:highlight w:val="none"/>
          <w14:textFill>
            <w14:solidFill>
              <w14:schemeClr w14:val="tx1"/>
            </w14:solidFill>
          </w14:textFill>
        </w:rPr>
      </w:pPr>
    </w:p>
    <w:p w14:paraId="3FEA90BA">
      <w:pPr>
        <w:snapToGrid w:val="0"/>
        <w:spacing w:line="360" w:lineRule="auto"/>
        <w:jc w:val="right"/>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供应商名称（公章）：</w:t>
      </w:r>
    </w:p>
    <w:p w14:paraId="24BEFED9">
      <w:pPr>
        <w:snapToGrid w:val="0"/>
        <w:spacing w:line="360" w:lineRule="auto"/>
        <w:jc w:val="right"/>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日期：   年   月   日</w:t>
      </w:r>
    </w:p>
    <w:p w14:paraId="4E43850D">
      <w:pPr>
        <w:adjustRightInd w:val="0"/>
        <w:snapToGrid w:val="0"/>
        <w:spacing w:line="480" w:lineRule="exact"/>
        <w:rPr>
          <w:rFonts w:hint="eastAsia" w:ascii="仿宋" w:hAnsi="仿宋" w:eastAsia="仿宋" w:cs="仿宋"/>
          <w:color w:val="000000" w:themeColor="text1"/>
          <w:highlight w:val="none"/>
          <w14:textFill>
            <w14:solidFill>
              <w14:schemeClr w14:val="tx1"/>
            </w14:solidFill>
          </w14:textFill>
        </w:rPr>
      </w:pPr>
    </w:p>
    <w:p w14:paraId="0F5422BC">
      <w:pPr>
        <w:adjustRightInd w:val="0"/>
        <w:snapToGrid w:val="0"/>
        <w:spacing w:line="480" w:lineRule="exact"/>
        <w:rPr>
          <w:rFonts w:hint="eastAsia" w:ascii="仿宋" w:hAnsi="仿宋" w:eastAsia="仿宋" w:cs="仿宋"/>
          <w:color w:val="000000" w:themeColor="text1"/>
          <w:highlight w:val="none"/>
          <w14:textFill>
            <w14:solidFill>
              <w14:schemeClr w14:val="tx1"/>
            </w14:solidFill>
          </w14:textFill>
        </w:rPr>
      </w:pPr>
    </w:p>
    <w:p w14:paraId="29C54610">
      <w:pPr>
        <w:spacing w:line="360" w:lineRule="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br w:type="page"/>
      </w:r>
    </w:p>
    <w:p w14:paraId="101D9D65">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bookmarkStart w:id="105" w:name="_Hlk61975497"/>
      <w:r>
        <w:rPr>
          <w:rFonts w:hint="eastAsia" w:ascii="仿宋" w:hAnsi="仿宋" w:eastAsia="仿宋" w:cs="仿宋"/>
          <w:b/>
          <w:color w:val="000000" w:themeColor="text1"/>
          <w:sz w:val="32"/>
          <w:szCs w:val="32"/>
          <w:highlight w:val="none"/>
          <w14:textFill>
            <w14:solidFill>
              <w14:schemeClr w14:val="tx1"/>
            </w14:solidFill>
          </w14:textFill>
        </w:rPr>
        <w:t>法定代表人授权委托书</w:t>
      </w:r>
    </w:p>
    <w:p w14:paraId="5B2BED67">
      <w:pPr>
        <w:snapToGrid w:val="0"/>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p>
    <w:p w14:paraId="3F3F6DB9">
      <w:pPr>
        <w:snapToGrid w:val="0"/>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本授权委托书声明：注册于（地址）的（授权单位名称），法人代表为（法人代表姓名、职务）。现授权委托（被授权人的姓名）为本单位的合法代理人，并将以本单位名义参加组织的</w:t>
      </w:r>
      <w:r>
        <w:rPr>
          <w:rFonts w:hint="eastAsia" w:ascii="仿宋" w:hAnsi="仿宋" w:eastAsia="仿宋" w:cs="仿宋"/>
          <w:color w:val="000000" w:themeColor="text1"/>
          <w:spacing w:val="20"/>
          <w:highlight w:val="none"/>
          <w:u w:val="single"/>
          <w14:textFill>
            <w14:solidFill>
              <w14:schemeClr w14:val="tx1"/>
            </w14:solidFill>
          </w14:textFill>
        </w:rPr>
        <w:t xml:space="preserve">     （项目名称） </w:t>
      </w:r>
      <w:r>
        <w:rPr>
          <w:rFonts w:hint="eastAsia" w:ascii="仿宋" w:hAnsi="仿宋" w:eastAsia="仿宋" w:cs="仿宋"/>
          <w:color w:val="000000" w:themeColor="text1"/>
          <w:spacing w:val="20"/>
          <w:highlight w:val="none"/>
          <w14:textFill>
            <w14:solidFill>
              <w14:schemeClr w14:val="tx1"/>
            </w14:solidFill>
          </w14:textFill>
        </w:rPr>
        <w:t>项目</w:t>
      </w:r>
      <w:r>
        <w:rPr>
          <w:rFonts w:hint="eastAsia" w:ascii="仿宋" w:hAnsi="仿宋" w:eastAsia="仿宋" w:cs="仿宋"/>
          <w:color w:val="000000" w:themeColor="text1"/>
          <w:szCs w:val="20"/>
          <w:highlight w:val="none"/>
          <w14:textFill>
            <w14:solidFill>
              <w14:schemeClr w14:val="tx1"/>
            </w14:solidFill>
          </w14:textFill>
        </w:rPr>
        <w:t>活动（项目编号：）。代理人（被授权人）在本项目</w:t>
      </w:r>
      <w:r>
        <w:rPr>
          <w:rFonts w:hint="eastAsia" w:ascii="仿宋" w:hAnsi="仿宋" w:eastAsia="仿宋" w:cs="仿宋"/>
          <w:color w:val="000000" w:themeColor="text1"/>
          <w:spacing w:val="20"/>
          <w:highlight w:val="none"/>
          <w14:textFill>
            <w14:solidFill>
              <w14:schemeClr w14:val="tx1"/>
            </w14:solidFill>
          </w14:textFill>
        </w:rPr>
        <w:t>入围遴选</w:t>
      </w:r>
      <w:r>
        <w:rPr>
          <w:rFonts w:hint="eastAsia" w:ascii="仿宋" w:hAnsi="仿宋" w:eastAsia="仿宋" w:cs="仿宋"/>
          <w:color w:val="000000" w:themeColor="text1"/>
          <w:szCs w:val="20"/>
          <w:highlight w:val="none"/>
          <w14:textFill>
            <w14:solidFill>
              <w14:schemeClr w14:val="tx1"/>
            </w14:solidFill>
          </w14:textFill>
        </w:rPr>
        <w:t>活动中所签署的一切文件和处理的一切有关事宜，我单位均予承认。</w:t>
      </w:r>
    </w:p>
    <w:p w14:paraId="7F611BDC">
      <w:pPr>
        <w:snapToGrid w:val="0"/>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代理人无转委权，特此委托。</w:t>
      </w:r>
    </w:p>
    <w:p w14:paraId="4B76B5F7">
      <w:pPr>
        <w:snapToGrid w:val="0"/>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附：代理人（被授权人）二代身份证复印件</w:t>
      </w:r>
    </w:p>
    <w:p w14:paraId="242FA610">
      <w:pPr>
        <w:snapToGrid w:val="0"/>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p>
    <w:p w14:paraId="53028BC7">
      <w:pPr>
        <w:snapToGrid w:val="0"/>
        <w:spacing w:line="360" w:lineRule="auto"/>
        <w:ind w:firstLine="420" w:firstLineChars="200"/>
        <w:rPr>
          <w:rFonts w:hint="eastAsia" w:ascii="仿宋" w:hAnsi="仿宋" w:eastAsia="仿宋" w:cs="仿宋"/>
          <w:color w:val="000000" w:themeColor="text1"/>
          <w:szCs w:val="20"/>
          <w:highlight w:val="none"/>
          <w14:textFill>
            <w14:solidFill>
              <w14:schemeClr w14:val="tx1"/>
            </w14:solidFill>
          </w14:textFill>
        </w:rPr>
      </w:pPr>
    </w:p>
    <w:p w14:paraId="23B93493">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代理人（被授权人）情况：</w:t>
      </w:r>
    </w:p>
    <w:p w14:paraId="1322B8BB">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姓名性别年龄职务</w:t>
      </w:r>
    </w:p>
    <w:p w14:paraId="3615A2CB">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联系地址</w:t>
      </w:r>
    </w:p>
    <w:p w14:paraId="77131CCF">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邮编电话传真</w:t>
      </w:r>
    </w:p>
    <w:p w14:paraId="334533F3">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身份证号</w:t>
      </w:r>
    </w:p>
    <w:p w14:paraId="00E6C9C6">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代理人（被授权人）签字：</w:t>
      </w:r>
    </w:p>
    <w:p w14:paraId="30D751E6">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p>
    <w:p w14:paraId="4F6DBB66">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供应商名称（公章）</w:t>
      </w:r>
      <w:r>
        <w:rPr>
          <w:rFonts w:hint="eastAsia" w:ascii="仿宋" w:hAnsi="仿宋" w:eastAsia="仿宋" w:cs="仿宋"/>
          <w:color w:val="000000" w:themeColor="text1"/>
          <w:szCs w:val="20"/>
          <w:highlight w:val="none"/>
          <w14:textFill>
            <w14:solidFill>
              <w14:schemeClr w14:val="tx1"/>
            </w14:solidFill>
          </w14:textFill>
        </w:rPr>
        <w:t>：</w:t>
      </w:r>
    </w:p>
    <w:p w14:paraId="3FBB0B0A">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法定代表人签字或盖章：</w:t>
      </w:r>
    </w:p>
    <w:p w14:paraId="05A34BAA">
      <w:pPr>
        <w:snapToGrid w:val="0"/>
        <w:spacing w:line="360" w:lineRule="auto"/>
        <w:ind w:firstLine="480"/>
        <w:rPr>
          <w:rFonts w:hint="eastAsia" w:ascii="仿宋" w:hAnsi="仿宋" w:eastAsia="仿宋" w:cs="仿宋"/>
          <w:color w:val="000000" w:themeColor="text1"/>
          <w:szCs w:val="20"/>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授权日期：   年   月   日</w:t>
      </w:r>
    </w:p>
    <w:p w14:paraId="649A61BE">
      <w:pPr>
        <w:spacing w:line="360" w:lineRule="auto"/>
        <w:rPr>
          <w:rFonts w:hint="eastAsia" w:ascii="仿宋" w:hAnsi="仿宋" w:eastAsia="仿宋" w:cs="仿宋"/>
          <w:color w:val="000000" w:themeColor="text1"/>
          <w:sz w:val="36"/>
          <w:szCs w:val="36"/>
          <w:highlight w:val="none"/>
          <w14:textFill>
            <w14:solidFill>
              <w14:schemeClr w14:val="tx1"/>
            </w14:solidFill>
          </w14:textFill>
        </w:rPr>
      </w:pPr>
    </w:p>
    <w:p w14:paraId="11A49D94">
      <w:pPr>
        <w:autoSpaceDE w:val="0"/>
        <w:autoSpaceDN w:val="0"/>
        <w:adjustRightInd w:val="0"/>
        <w:spacing w:line="360" w:lineRule="auto"/>
        <w:ind w:left="420" w:leftChars="200" w:firstLine="420"/>
        <w:jc w:val="left"/>
        <w:rPr>
          <w:rFonts w:hint="eastAsia" w:ascii="仿宋" w:hAnsi="仿宋" w:eastAsia="仿宋" w:cs="仿宋"/>
          <w:color w:val="000000" w:themeColor="text1"/>
          <w:sz w:val="36"/>
          <w:szCs w:val="36"/>
          <w:highlight w:val="none"/>
          <w14:textFill>
            <w14:solidFill>
              <w14:schemeClr w14:val="tx1"/>
            </w14:solidFill>
          </w14:textFill>
        </w:rPr>
      </w:pPr>
    </w:p>
    <w:p w14:paraId="733DEB4A">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p>
    <w:p w14:paraId="6F6F0117">
      <w:pPr>
        <w:adjustRightInd w:val="0"/>
        <w:spacing w:line="360" w:lineRule="auto"/>
        <w:rPr>
          <w:rFonts w:hint="eastAsia" w:ascii="仿宋" w:hAnsi="仿宋" w:eastAsia="仿宋" w:cs="仿宋"/>
          <w:color w:val="000000" w:themeColor="text1"/>
          <w:kern w:val="0"/>
          <w:highlight w:val="none"/>
          <w14:textFill>
            <w14:solidFill>
              <w14:schemeClr w14:val="tx1"/>
            </w14:solidFill>
          </w14:textFill>
        </w:rPr>
      </w:pPr>
    </w:p>
    <w:p w14:paraId="1089CA77">
      <w:pPr>
        <w:adjustRightInd w:val="0"/>
        <w:spacing w:line="360" w:lineRule="auto"/>
        <w:rPr>
          <w:rFonts w:hint="eastAsia" w:ascii="仿宋" w:hAnsi="仿宋" w:eastAsia="仿宋" w:cs="仿宋"/>
          <w:color w:val="000000" w:themeColor="text1"/>
          <w:kern w:val="0"/>
          <w:highlight w:val="none"/>
          <w14:textFill>
            <w14:solidFill>
              <w14:schemeClr w14:val="tx1"/>
            </w14:solidFill>
          </w14:textFill>
        </w:rPr>
      </w:pPr>
    </w:p>
    <w:bookmarkEnd w:id="101"/>
    <w:bookmarkEnd w:id="102"/>
    <w:bookmarkEnd w:id="103"/>
    <w:bookmarkEnd w:id="105"/>
    <w:p w14:paraId="1128FB7E">
      <w:pPr>
        <w:spacing w:line="220" w:lineRule="atLeast"/>
        <w:rPr>
          <w:rFonts w:hint="eastAsia" w:ascii="仿宋" w:hAnsi="仿宋" w:eastAsia="仿宋" w:cs="仿宋"/>
          <w:color w:val="000000" w:themeColor="text1"/>
          <w:sz w:val="28"/>
          <w:szCs w:val="28"/>
          <w:highlight w:val="none"/>
          <w14:textFill>
            <w14:solidFill>
              <w14:schemeClr w14:val="tx1"/>
            </w14:solidFill>
          </w14:textFill>
        </w:rPr>
      </w:pPr>
      <w:bookmarkStart w:id="106" w:name="_Toc270281785"/>
      <w:bookmarkStart w:id="107" w:name="_Toc342500118"/>
    </w:p>
    <w:bookmarkEnd w:id="106"/>
    <w:bookmarkEnd w:id="107"/>
    <w:p w14:paraId="6C44D674">
      <w:pPr>
        <w:adjustRightInd w:val="0"/>
        <w:snapToGrid w:val="0"/>
        <w:spacing w:line="360" w:lineRule="auto"/>
        <w:rPr>
          <w:rFonts w:hint="eastAsia" w:ascii="仿宋" w:hAnsi="仿宋" w:eastAsia="仿宋" w:cs="仿宋"/>
          <w:color w:val="000000" w:themeColor="text1"/>
          <w:kern w:val="0"/>
          <w:highlight w:val="none"/>
          <w14:textFill>
            <w14:solidFill>
              <w14:schemeClr w14:val="tx1"/>
            </w14:solidFill>
          </w14:textFill>
        </w:rPr>
      </w:pPr>
      <w:bookmarkStart w:id="108" w:name="_Hlk61968064"/>
    </w:p>
    <w:bookmarkEnd w:id="108"/>
    <w:p w14:paraId="2A6962F0">
      <w:pPr>
        <w:adjustRightInd w:val="0"/>
        <w:snapToGrid w:val="0"/>
        <w:spacing w:before="120" w:beforeLines="50" w:line="360" w:lineRule="auto"/>
        <w:jc w:val="left"/>
        <w:rPr>
          <w:rFonts w:hint="eastAsia" w:ascii="仿宋" w:hAnsi="仿宋" w:eastAsia="仿宋" w:cs="仿宋"/>
          <w:color w:val="000000" w:themeColor="text1"/>
          <w:highlight w:val="none"/>
          <w:lang w:eastAsia="zh-CN"/>
          <w14:textFill>
            <w14:solidFill>
              <w14:schemeClr w14:val="tx1"/>
            </w14:solidFill>
          </w14:textFill>
        </w:rPr>
      </w:pPr>
      <w:bookmarkStart w:id="109" w:name="_Hlk66963554"/>
      <w:r>
        <w:rPr>
          <w:rFonts w:hint="eastAsia" w:ascii="仿宋" w:hAnsi="仿宋" w:eastAsia="仿宋" w:cs="仿宋"/>
          <w:b/>
          <w:bCs/>
          <w:color w:val="000000" w:themeColor="text1"/>
          <w:sz w:val="28"/>
          <w:szCs w:val="28"/>
          <w:highlight w:val="none"/>
          <w:lang w:eastAsia="zh-CN"/>
          <w14:textFill>
            <w14:solidFill>
              <w14:schemeClr w14:val="tx1"/>
            </w14:solidFill>
          </w14:textFill>
        </w:rPr>
        <w:t>、</w:t>
      </w:r>
    </w:p>
    <w:p w14:paraId="4B8A3848">
      <w:pPr>
        <w:adjustRightInd w:val="0"/>
        <w:snapToGrid w:val="0"/>
        <w:spacing w:before="120" w:beforeLines="50" w:line="360" w:lineRule="auto"/>
        <w:jc w:val="left"/>
        <w:rPr>
          <w:rFonts w:hint="eastAsia" w:ascii="仿宋" w:hAnsi="仿宋" w:eastAsia="仿宋" w:cs="仿宋"/>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1" w:footer="992" w:gutter="0"/>
          <w:pgNumType w:fmt="decimal"/>
          <w:cols w:space="720" w:num="1"/>
          <w:docGrid w:linePitch="312" w:charSpace="0"/>
        </w:sectPr>
      </w:pPr>
    </w:p>
    <w:p w14:paraId="0EE99A4D">
      <w:pPr>
        <w:widowControl/>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格式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w:t>
      </w:r>
      <w:r>
        <w:rPr>
          <w:rFonts w:hint="eastAsia" w:ascii="仿宋" w:hAnsi="仿宋" w:eastAsia="仿宋" w:cs="仿宋"/>
          <w:b/>
          <w:bCs/>
          <w:color w:val="000000" w:themeColor="text1"/>
          <w:sz w:val="28"/>
          <w:szCs w:val="28"/>
          <w:highlight w:val="none"/>
          <w14:textFill>
            <w14:solidFill>
              <w14:schemeClr w14:val="tx1"/>
            </w14:solidFill>
          </w14:textFill>
        </w:rPr>
        <w:t xml:space="preserve">： </w:t>
      </w:r>
    </w:p>
    <w:p w14:paraId="2E618606">
      <w:pPr>
        <w:shd w:val="clear"/>
        <w:adjustRightInd w:val="0"/>
        <w:snapToGrid w:val="0"/>
        <w:spacing w:line="360" w:lineRule="auto"/>
        <w:ind w:left="3935" w:hanging="3935" w:hangingChars="1400"/>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格式7-1</w:t>
      </w:r>
      <w:r>
        <w:rPr>
          <w:rFonts w:hint="eastAsia" w:ascii="仿宋" w:hAnsi="仿宋" w:eastAsia="仿宋" w:cs="仿宋"/>
          <w:b/>
          <w:color w:val="000000" w:themeColor="text1"/>
          <w:sz w:val="28"/>
          <w:szCs w:val="28"/>
          <w:highlight w:val="none"/>
          <w14:textFill>
            <w14:solidFill>
              <w14:schemeClr w14:val="tx1"/>
            </w14:solidFill>
          </w14:textFill>
        </w:rPr>
        <w:br w:type="textWrapping"/>
      </w:r>
      <w:r>
        <w:rPr>
          <w:rFonts w:hint="eastAsia" w:ascii="仿宋" w:hAnsi="仿宋" w:eastAsia="仿宋" w:cs="仿宋"/>
          <w:b/>
          <w:color w:val="000000" w:themeColor="text1"/>
          <w:sz w:val="28"/>
          <w:szCs w:val="28"/>
          <w:highlight w:val="none"/>
          <w14:textFill>
            <w14:solidFill>
              <w14:schemeClr w14:val="tx1"/>
            </w14:solidFill>
          </w14:textFill>
        </w:rPr>
        <w:t>产品报价承诺</w:t>
      </w:r>
    </w:p>
    <w:p w14:paraId="5A020E2C">
      <w:pPr>
        <w:shd w:val="clear"/>
        <w:adjustRightInd w:val="0"/>
        <w:snapToGrid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14:paraId="099D98AD">
      <w:pPr>
        <w:widowControl/>
        <w:shd w:val="clear"/>
        <w:spacing w:before="156" w:beforeLines="50" w:line="360" w:lineRule="auto"/>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致：_______________（采购人或采购代理机构）：</w:t>
      </w:r>
    </w:p>
    <w:p w14:paraId="377512F8">
      <w:pPr>
        <w:shd w:val="clear"/>
        <w:snapToGrid w:val="0"/>
        <w:spacing w:line="42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我公司参与__________________（项目名称）采购活动（</w:t>
      </w:r>
      <w:r>
        <w:rPr>
          <w:rFonts w:hint="eastAsia" w:ascii="仿宋" w:hAnsi="仿宋" w:eastAsia="仿宋" w:cs="仿宋"/>
          <w:color w:val="000000" w:themeColor="text1"/>
          <w:szCs w:val="21"/>
          <w:highlight w:val="none"/>
          <w:lang w:val="en-US" w:eastAsia="zh-CN"/>
          <w14:textFill>
            <w14:solidFill>
              <w14:schemeClr w14:val="tx1"/>
            </w14:solidFill>
          </w14:textFill>
        </w:rPr>
        <w:t>项目名称</w:t>
      </w:r>
      <w:r>
        <w:rPr>
          <w:rFonts w:hint="eastAsia" w:ascii="仿宋" w:hAnsi="仿宋" w:eastAsia="仿宋" w:cs="仿宋"/>
          <w:color w:val="000000" w:themeColor="text1"/>
          <w:szCs w:val="21"/>
          <w:highlight w:val="none"/>
          <w14:textFill>
            <w14:solidFill>
              <w14:schemeClr w14:val="tx1"/>
            </w14:solidFill>
          </w14:textFill>
        </w:rPr>
        <w:t>：_____________），我公司郑重承诺：</w:t>
      </w:r>
    </w:p>
    <w:p w14:paraId="471256DB">
      <w:pPr>
        <w:shd w:val="clear"/>
        <w:snapToGrid w:val="0"/>
        <w:spacing w:line="42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①：我方保证入围后的供货价格为入围产品在湖南省内同级别医院的最低供货价格。</w:t>
      </w:r>
    </w:p>
    <w:p w14:paraId="397D554A">
      <w:pPr>
        <w:widowControl/>
        <w:shd w:val="clear"/>
        <w:spacing w:line="440" w:lineRule="atLeast"/>
        <w:ind w:firstLine="42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②：在合同期内，如入围产品在湖南省内出现有新的最低供货价格，我方承诺同时按入围产品在湖南省内出现有的新的最低供货价格供货。</w:t>
      </w:r>
    </w:p>
    <w:p w14:paraId="4286EB68">
      <w:pPr>
        <w:shd w:val="clear"/>
        <w:snapToGrid w:val="0"/>
        <w:spacing w:line="42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5D48CE7D">
      <w:pPr>
        <w:widowControl/>
        <w:shd w:val="clear"/>
        <w:spacing w:line="360" w:lineRule="auto"/>
        <w:ind w:firstLine="42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本承诺有效期限涵盖本次集中采购周期。</w:t>
      </w:r>
    </w:p>
    <w:p w14:paraId="71B09D5C">
      <w:pPr>
        <w:shd w:val="clea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br w:type="textWrapping"/>
      </w:r>
      <w:r>
        <w:rPr>
          <w:rFonts w:hint="eastAsia" w:ascii="仿宋" w:hAnsi="仿宋" w:eastAsia="仿宋" w:cs="仿宋"/>
          <w:color w:val="000000" w:themeColor="text1"/>
          <w:szCs w:val="21"/>
          <w:highlight w:val="none"/>
          <w14:textFill>
            <w14:solidFill>
              <w14:schemeClr w14:val="tx1"/>
            </w14:solidFill>
          </w14:textFill>
        </w:rPr>
        <w:t>供应商名称(单位盖章)：</w:t>
      </w:r>
    </w:p>
    <w:p w14:paraId="56E27001">
      <w:pPr>
        <w:shd w:val="clear"/>
        <w:snapToGrid w:val="0"/>
        <w:spacing w:line="360" w:lineRule="auto"/>
        <w:ind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法定代表人或其委托代理人 （签字或盖章）：</w:t>
      </w:r>
    </w:p>
    <w:p w14:paraId="44045A46">
      <w:pPr>
        <w:shd w:val="clear"/>
        <w:snapToGrid w:val="0"/>
        <w:spacing w:line="360" w:lineRule="auto"/>
        <w:ind w:firstLine="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     期：年月日</w:t>
      </w:r>
    </w:p>
    <w:p w14:paraId="5F372A97">
      <w:pPr>
        <w:spacing w:line="240" w:lineRule="auto"/>
        <w:rPr>
          <w:rFonts w:hint="eastAsia" w:ascii="仿宋" w:hAnsi="仿宋" w:eastAsia="仿宋" w:cs="仿宋"/>
          <w:b/>
          <w:color w:val="000000" w:themeColor="text1"/>
          <w:sz w:val="32"/>
          <w:szCs w:val="32"/>
          <w:highlight w:val="none"/>
          <w14:textFill>
            <w14:solidFill>
              <w14:schemeClr w14:val="tx1"/>
            </w14:solidFill>
          </w14:textFill>
        </w:rPr>
        <w:sectPr>
          <w:pgSz w:w="11906" w:h="16838"/>
          <w:pgMar w:top="1440" w:right="1800" w:bottom="1440" w:left="1800" w:header="851" w:footer="992" w:gutter="0"/>
          <w:pgNumType w:fmt="decimal"/>
          <w:cols w:space="720" w:num="1"/>
          <w:docGrid w:linePitch="312" w:charSpace="0"/>
        </w:sectPr>
      </w:pPr>
    </w:p>
    <w:p w14:paraId="47EBFDA8">
      <w:pPr>
        <w:shd w:val="clear"/>
        <w:snapToGrid w:val="0"/>
        <w:spacing w:line="360" w:lineRule="exact"/>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供应商承诺书</w:t>
      </w:r>
    </w:p>
    <w:p w14:paraId="692966C5">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致：（采购人）：</w:t>
      </w:r>
    </w:p>
    <w:p w14:paraId="67ECD373">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我方在此郑重声明并承诺：</w:t>
      </w:r>
    </w:p>
    <w:p w14:paraId="40533582">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1、我方目前生产经营状态正常，没有被有权机关吊销营业执照、吊销经营许可、责令停业、暂停或取消响应资格、以及财产被接管或冻结情况。</w:t>
      </w:r>
    </w:p>
    <w:p w14:paraId="5E3C8F95">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2、我方没有直接或间接地与采购人为采购本次货物和服务进行设计、编制规范和其他文件所委托的咨询公司或其附属机构有任何关联。</w:t>
      </w:r>
    </w:p>
    <w:p w14:paraId="5AF769B1">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3、我方不是与采购人存在利害关系可能影响入围遴选公正性的法人、其他组织或者个人。</w:t>
      </w:r>
    </w:p>
    <w:p w14:paraId="63D567E9">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4、我方单位负责人为同一人或者存在控股、管理关系的不同单位，没有同时参加同一产品分类项目申请。</w:t>
      </w:r>
    </w:p>
    <w:p w14:paraId="5A733FC9">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5、我方提交的申请资料内容及资料无弄虚作假。</w:t>
      </w:r>
    </w:p>
    <w:p w14:paraId="3D3D85DC">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如若入围，我方保证按照入围产品目录及时向采购人进行供货，并确保耗材安全、质量符合国家相关要求；我方保证向采购人所提供货物的货源及质量真实、合法、有效，并愿承担因违反上述要求而造成的一切法律责任。同时，我方保证在合同期内若湖南省药品和医用耗材招采管理子系统挂网价格调整，且调整后价格低于采购人供货价格的，我方将不超过1个工作日主动前来采购人处调整价格，否则采购人有权停用我方供货产品。</w:t>
      </w:r>
    </w:p>
    <w:p w14:paraId="286EEF1C">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7、我方完全理解并知晓本次入围遴选的报价规则并承诺按要求如实报价。</w:t>
      </w:r>
    </w:p>
    <w:p w14:paraId="69CE4343">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8</w:t>
      </w:r>
      <w:r>
        <w:rPr>
          <w:rFonts w:hint="eastAsia" w:ascii="仿宋" w:hAnsi="仿宋" w:eastAsia="仿宋" w:cs="仿宋"/>
          <w:color w:val="000000"/>
          <w:szCs w:val="21"/>
          <w:highlight w:val="none"/>
        </w:rPr>
        <w:t>、我方完全理解并知晓本次遴选项目所投耗材必须是符合湖南省医疗服务项目收费目录的医用耗材，若后期经采购人核实我方所投耗材不符合湖南省医疗服务项目收费目录要求的，则采购人有权取消我司关于所投耗材的入围资格。</w:t>
      </w:r>
    </w:p>
    <w:p w14:paraId="6F6BD144">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10、如我方不按承诺书内容执行，将自动放弃在此次入围遴选项目中的所有权利。</w:t>
      </w:r>
    </w:p>
    <w:p w14:paraId="5F14EBC2">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11、签订合同前，我方提供对应入围产品的厂家针对本项目所出具的供货授权书并完善好招采子系统配送权。如在签订合同前不具备招采子系统配送权，医院有权取消我方中标资格。</w:t>
      </w:r>
    </w:p>
    <w:p w14:paraId="06051519">
      <w:pPr>
        <w:spacing w:line="400" w:lineRule="exact"/>
        <w:ind w:firstLine="42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特此承诺。</w:t>
      </w:r>
    </w:p>
    <w:p w14:paraId="20AA19A1">
      <w:pPr>
        <w:shd w:val="clear"/>
        <w:snapToGrid w:val="0"/>
        <w:spacing w:line="240" w:lineRule="auto"/>
        <w:ind w:firstLine="420" w:firstLineChars="200"/>
        <w:jc w:val="right"/>
        <w:rPr>
          <w:rFonts w:hint="eastAsia" w:ascii="仿宋" w:hAnsi="仿宋" w:eastAsia="仿宋" w:cs="仿宋"/>
          <w:color w:val="000000" w:themeColor="text1"/>
          <w:szCs w:val="21"/>
          <w:highlight w:val="none"/>
          <w14:textFill>
            <w14:solidFill>
              <w14:schemeClr w14:val="tx1"/>
            </w14:solidFill>
          </w14:textFill>
        </w:rPr>
      </w:pPr>
    </w:p>
    <w:p w14:paraId="3BF7CBC3">
      <w:pPr>
        <w:shd w:val="clear"/>
        <w:adjustRightInd w:val="0"/>
        <w:snapToGrid w:val="0"/>
        <w:spacing w:line="240" w:lineRule="auto"/>
        <w:ind w:firstLine="420" w:firstLineChars="20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（单位盖章）</w:t>
      </w:r>
    </w:p>
    <w:p w14:paraId="32269654">
      <w:pPr>
        <w:shd w:val="clear"/>
        <w:snapToGrid w:val="0"/>
        <w:spacing w:line="240" w:lineRule="auto"/>
        <w:ind w:right="420"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p>
    <w:p w14:paraId="0D6B3AC0">
      <w:pPr>
        <w:shd w:val="clear"/>
        <w:snapToGrid w:val="0"/>
        <w:spacing w:line="240" w:lineRule="auto"/>
        <w:ind w:right="420" w:firstLine="420" w:firstLineChars="20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法定代表人或其授权委托人：</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（签字）</w:t>
      </w:r>
    </w:p>
    <w:p w14:paraId="204BFC1A">
      <w:pPr>
        <w:shd w:val="clear"/>
        <w:spacing w:line="24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日期</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日</w:t>
      </w:r>
    </w:p>
    <w:p w14:paraId="1DD5F546">
      <w:pPr>
        <w:spacing w:line="240" w:lineRule="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p w14:paraId="499F7CBA">
      <w:pPr>
        <w:spacing w:line="360" w:lineRule="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格式</w:t>
      </w:r>
      <w:r>
        <w:rPr>
          <w:rFonts w:hint="eastAsia" w:ascii="仿宋" w:hAnsi="仿宋" w:eastAsia="仿宋" w:cs="仿宋"/>
          <w:b/>
          <w:color w:val="000000" w:themeColor="text1"/>
          <w:sz w:val="32"/>
          <w:szCs w:val="32"/>
          <w:highlight w:val="none"/>
          <w:lang w:val="en-US" w:eastAsia="zh-CN"/>
          <w14:textFill>
            <w14:solidFill>
              <w14:schemeClr w14:val="tx1"/>
            </w14:solidFill>
          </w14:textFill>
        </w:rPr>
        <w:t>8</w:t>
      </w:r>
    </w:p>
    <w:p w14:paraId="14788673">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1、信用查询</w:t>
      </w:r>
    </w:p>
    <w:p w14:paraId="6ECAA9C3">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提供“信用中国”网页及“中国政府采购网”网站截图证明材料</w:t>
      </w:r>
    </w:p>
    <w:p w14:paraId="6FDFA2AF">
      <w:pPr>
        <w:snapToGrid w:val="0"/>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截图举例（制作</w:t>
      </w:r>
      <w:r>
        <w:rPr>
          <w:rFonts w:hint="eastAsia" w:ascii="仿宋" w:hAnsi="仿宋" w:eastAsia="仿宋" w:cs="仿宋"/>
          <w:b/>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b/>
          <w:color w:val="000000" w:themeColor="text1"/>
          <w:sz w:val="24"/>
          <w:szCs w:val="24"/>
          <w:highlight w:val="none"/>
          <w14:textFill>
            <w14:solidFill>
              <w14:schemeClr w14:val="tx1"/>
            </w14:solidFill>
          </w14:textFill>
        </w:rPr>
        <w:t>时请删除图例，放上申报单位截图）：</w:t>
      </w:r>
    </w:p>
    <w:p w14:paraId="717115B9">
      <w:pPr>
        <w:pStyle w:val="3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drawing>
          <wp:inline distT="0" distB="0" distL="0" distR="0">
            <wp:extent cx="4242435" cy="2404745"/>
            <wp:effectExtent l="0" t="0" r="952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stretch>
                      <a:fillRect/>
                    </a:stretch>
                  </pic:blipFill>
                  <pic:spPr>
                    <a:xfrm>
                      <a:off x="0" y="0"/>
                      <a:ext cx="4242435" cy="2404745"/>
                    </a:xfrm>
                    <a:prstGeom prst="rect">
                      <a:avLst/>
                    </a:prstGeom>
                  </pic:spPr>
                </pic:pic>
              </a:graphicData>
            </a:graphic>
          </wp:inline>
        </w:drawing>
      </w:r>
      <w:r>
        <w:rPr>
          <w:rFonts w:hint="eastAsia" w:ascii="仿宋" w:hAnsi="仿宋" w:eastAsia="仿宋" w:cs="仿宋"/>
          <w:color w:val="000000" w:themeColor="text1"/>
          <w:highlight w:val="none"/>
          <w14:textFill>
            <w14:solidFill>
              <w14:schemeClr w14:val="tx1"/>
            </w14:solidFill>
          </w14:textFill>
        </w:rPr>
        <w:drawing>
          <wp:inline distT="0" distB="0" distL="0" distR="0">
            <wp:extent cx="4389120" cy="274193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4389120" cy="2741930"/>
                    </a:xfrm>
                    <a:prstGeom prst="rect">
                      <a:avLst/>
                    </a:prstGeom>
                  </pic:spPr>
                </pic:pic>
              </a:graphicData>
            </a:graphic>
          </wp:inline>
        </w:drawing>
      </w:r>
    </w:p>
    <w:p w14:paraId="1A5B47AE">
      <w:pP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p w14:paraId="3AD9A039">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格式</w:t>
      </w:r>
      <w:r>
        <w:rPr>
          <w:rFonts w:hint="eastAsia" w:ascii="仿宋" w:hAnsi="仿宋" w:eastAsia="仿宋" w:cs="仿宋"/>
          <w:b/>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
          <w:color w:val="000000" w:themeColor="text1"/>
          <w:sz w:val="32"/>
          <w:szCs w:val="32"/>
          <w:highlight w:val="none"/>
          <w14:textFill>
            <w14:solidFill>
              <w14:schemeClr w14:val="tx1"/>
            </w14:solidFill>
          </w14:textFill>
        </w:rPr>
        <w:t>：</w:t>
      </w:r>
    </w:p>
    <w:p w14:paraId="49E48585">
      <w:pPr>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14:paraId="2BF49DBA">
      <w:pPr>
        <w:autoSpaceDE w:val="0"/>
        <w:autoSpaceDN w:val="0"/>
        <w:adjustRightInd w:val="0"/>
        <w:spacing w:after="120" w:line="240" w:lineRule="auto"/>
        <w:jc w:val="left"/>
        <w:rPr>
          <w:rFonts w:hint="eastAsia" w:ascii="仿宋" w:hAnsi="仿宋" w:eastAsia="仿宋" w:cs="仿宋"/>
          <w:b w:val="0"/>
          <w:color w:val="000000" w:themeColor="text1"/>
          <w:sz w:val="28"/>
          <w:szCs w:val="32"/>
          <w:highlight w:val="none"/>
          <w14:textFill>
            <w14:solidFill>
              <w14:schemeClr w14:val="tx1"/>
            </w14:solidFill>
          </w14:textFill>
        </w:rPr>
      </w:pPr>
      <w:r>
        <w:rPr>
          <w:rFonts w:hint="eastAsia" w:ascii="仿宋" w:hAnsi="仿宋" w:eastAsia="仿宋" w:cs="仿宋"/>
          <w:b w:val="0"/>
          <w:color w:val="000000" w:themeColor="text1"/>
          <w:sz w:val="28"/>
          <w:szCs w:val="32"/>
          <w:highlight w:val="none"/>
          <w14:textFill>
            <w14:solidFill>
              <w14:schemeClr w14:val="tx1"/>
            </w14:solidFill>
          </w14:textFill>
        </w:rPr>
        <w:t>1、企业法人营业执照复印件（多证合一）</w:t>
      </w:r>
    </w:p>
    <w:p w14:paraId="0BFF8AE0">
      <w:pPr>
        <w:autoSpaceDE w:val="0"/>
        <w:autoSpaceDN w:val="0"/>
        <w:adjustRightInd w:val="0"/>
        <w:spacing w:after="120" w:line="240" w:lineRule="auto"/>
        <w:jc w:val="left"/>
        <w:rPr>
          <w:rFonts w:hint="eastAsia" w:ascii="仿宋" w:hAnsi="仿宋" w:eastAsia="仿宋" w:cs="仿宋"/>
          <w:b w:val="0"/>
          <w:color w:val="000000" w:themeColor="text1"/>
          <w:sz w:val="28"/>
          <w:szCs w:val="32"/>
          <w:highlight w:val="none"/>
          <w14:textFill>
            <w14:solidFill>
              <w14:schemeClr w14:val="tx1"/>
            </w14:solidFill>
          </w14:textFill>
        </w:rPr>
      </w:pPr>
      <w:r>
        <w:rPr>
          <w:rFonts w:hint="eastAsia" w:ascii="仿宋" w:hAnsi="仿宋" w:eastAsia="仿宋" w:cs="仿宋"/>
          <w:b w:val="0"/>
          <w:color w:val="000000" w:themeColor="text1"/>
          <w:sz w:val="28"/>
          <w:szCs w:val="32"/>
          <w:highlight w:val="none"/>
          <w14:textFill>
            <w14:solidFill>
              <w14:schemeClr w14:val="tx1"/>
            </w14:solidFill>
          </w14:textFill>
        </w:rPr>
        <w:t>2、医疗器械生产备案凭证、许可证复印件（供应商为生产企业提供）</w:t>
      </w:r>
    </w:p>
    <w:p w14:paraId="6508695E">
      <w:pPr>
        <w:autoSpaceDE w:val="0"/>
        <w:autoSpaceDN w:val="0"/>
        <w:adjustRightInd w:val="0"/>
        <w:spacing w:after="120" w:line="240" w:lineRule="auto"/>
        <w:jc w:val="left"/>
        <w:rPr>
          <w:rFonts w:hint="eastAsia" w:ascii="仿宋" w:hAnsi="仿宋" w:eastAsia="仿宋" w:cs="仿宋"/>
          <w:b w:val="0"/>
          <w:color w:val="000000" w:themeColor="text1"/>
          <w:sz w:val="28"/>
          <w:szCs w:val="32"/>
          <w:highlight w:val="none"/>
          <w14:textFill>
            <w14:solidFill>
              <w14:schemeClr w14:val="tx1"/>
            </w14:solidFill>
          </w14:textFill>
        </w:rPr>
      </w:pPr>
      <w:r>
        <w:rPr>
          <w:rFonts w:hint="eastAsia" w:ascii="仿宋" w:hAnsi="仿宋" w:eastAsia="仿宋" w:cs="仿宋"/>
          <w:b w:val="0"/>
          <w:color w:val="000000" w:themeColor="text1"/>
          <w:sz w:val="28"/>
          <w:szCs w:val="32"/>
          <w:highlight w:val="none"/>
          <w14:textFill>
            <w14:solidFill>
              <w14:schemeClr w14:val="tx1"/>
            </w14:solidFill>
          </w14:textFill>
        </w:rPr>
        <w:t>3、医疗器械经营备案凭证、许可证复印件（供应商为经营企业提供）</w:t>
      </w:r>
    </w:p>
    <w:p w14:paraId="4B1FFF7A">
      <w:pPr>
        <w:autoSpaceDE w:val="0"/>
        <w:autoSpaceDN w:val="0"/>
        <w:adjustRightInd w:val="0"/>
        <w:spacing w:after="120" w:line="240" w:lineRule="auto"/>
        <w:jc w:val="left"/>
        <w:rPr>
          <w:rFonts w:hint="eastAsia" w:ascii="仿宋" w:hAnsi="仿宋" w:eastAsia="仿宋" w:cs="仿宋"/>
          <w:b w:val="0"/>
          <w:color w:val="000000" w:themeColor="text1"/>
          <w:sz w:val="28"/>
          <w:szCs w:val="32"/>
          <w:highlight w:val="none"/>
          <w14:textFill>
            <w14:solidFill>
              <w14:schemeClr w14:val="tx1"/>
            </w14:solidFill>
          </w14:textFill>
        </w:rPr>
      </w:pPr>
      <w:r>
        <w:rPr>
          <w:rFonts w:hint="eastAsia" w:ascii="仿宋" w:hAnsi="仿宋" w:eastAsia="仿宋" w:cs="仿宋"/>
          <w:b w:val="0"/>
          <w:color w:val="000000" w:themeColor="text1"/>
          <w:sz w:val="28"/>
          <w:szCs w:val="32"/>
          <w:highlight w:val="none"/>
          <w14:textFill>
            <w14:solidFill>
              <w14:schemeClr w14:val="tx1"/>
            </w14:solidFill>
          </w14:textFill>
        </w:rPr>
        <w:t>4、参加入围遴选活动前三年内，在经营活动中没有重大违法记录的说明（格式自拟）</w:t>
      </w:r>
    </w:p>
    <w:p w14:paraId="497544F8">
      <w:pPr>
        <w:autoSpaceDE w:val="0"/>
        <w:autoSpaceDN w:val="0"/>
        <w:adjustRightInd w:val="0"/>
        <w:spacing w:after="120"/>
        <w:jc w:val="left"/>
        <w:rPr>
          <w:rFonts w:hint="eastAsia" w:ascii="仿宋" w:hAnsi="仿宋" w:eastAsia="仿宋" w:cs="仿宋"/>
          <w:color w:val="000000" w:themeColor="text1"/>
          <w:sz w:val="28"/>
          <w:szCs w:val="32"/>
          <w:highlight w:val="none"/>
          <w:lang w:val="en-US" w:eastAsia="zh-CN"/>
          <w14:textFill>
            <w14:solidFill>
              <w14:schemeClr w14:val="tx1"/>
            </w14:solidFill>
          </w14:textFill>
        </w:rPr>
      </w:pPr>
      <w:r>
        <w:rPr>
          <w:rFonts w:hint="eastAsia" w:ascii="仿宋" w:hAnsi="仿宋" w:eastAsia="仿宋" w:cs="仿宋"/>
          <w:color w:val="000000" w:themeColor="text1"/>
          <w:sz w:val="28"/>
          <w:szCs w:val="32"/>
          <w:highlight w:val="none"/>
          <w:lang w:val="en-US" w:eastAsia="zh-CN"/>
          <w14:textFill>
            <w14:solidFill>
              <w14:schemeClr w14:val="tx1"/>
            </w14:solidFill>
          </w14:textFill>
        </w:rPr>
        <w:t>5、</w:t>
      </w:r>
      <w:r>
        <w:rPr>
          <w:rFonts w:hint="eastAsia" w:ascii="仿宋" w:hAnsi="仿宋" w:eastAsia="仿宋" w:cs="仿宋"/>
          <w:b w:val="0"/>
          <w:color w:val="000000" w:themeColor="text1"/>
          <w:sz w:val="28"/>
          <w:szCs w:val="32"/>
          <w:highlight w:val="none"/>
          <w14:textFill>
            <w14:solidFill>
              <w14:schemeClr w14:val="tx1"/>
            </w14:solidFill>
          </w14:textFill>
        </w:rPr>
        <w:t>其他相关证明文件</w:t>
      </w:r>
    </w:p>
    <w:p w14:paraId="32E3C8CB">
      <w:pPr>
        <w:adjustRightInd w:val="0"/>
        <w:snapToGrid w:val="0"/>
        <w:spacing w:line="360" w:lineRule="auto"/>
        <w:ind w:firstLine="422" w:firstLineChars="200"/>
        <w:rPr>
          <w:rFonts w:hint="eastAsia" w:ascii="仿宋" w:hAnsi="仿宋" w:eastAsia="仿宋" w:cs="仿宋"/>
          <w:b/>
          <w:color w:val="000000" w:themeColor="text1"/>
          <w:szCs w:val="24"/>
          <w:highlight w:val="none"/>
          <w14:textFill>
            <w14:solidFill>
              <w14:schemeClr w14:val="tx1"/>
            </w14:solidFill>
          </w14:textFill>
        </w:rPr>
      </w:pPr>
    </w:p>
    <w:p w14:paraId="679AE065">
      <w:pPr>
        <w:adjustRightInd w:val="0"/>
        <w:snapToGrid w:val="0"/>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3B9F7BED">
      <w:pPr>
        <w:adjustRightInd w:val="0"/>
        <w:snapToGrid w:val="0"/>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706208E3">
      <w:pPr>
        <w:adjustRightInd w:val="0"/>
        <w:snapToGrid w:val="0"/>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7BFBEBD7">
      <w:pPr>
        <w:adjustRightInd w:val="0"/>
        <w:snapToGrid w:val="0"/>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0A938F38">
      <w:pPr>
        <w:adjustRightInd w:val="0"/>
        <w:snapToGrid w:val="0"/>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59EA1169">
      <w:pPr>
        <w:adjustRightInd w:val="0"/>
        <w:snapToGrid w:val="0"/>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03AAE096">
      <w:pPr>
        <w:adjustRightInd w:val="0"/>
        <w:snapToGrid w:val="0"/>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p>
    <w:p w14:paraId="2BE0F01C">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7149E302">
      <w:pPr>
        <w:rPr>
          <w:rFonts w:hint="eastAsia" w:ascii="仿宋" w:hAnsi="仿宋" w:eastAsia="仿宋" w:cs="仿宋"/>
          <w:b/>
          <w:bCs/>
          <w:color w:val="000000" w:themeColor="text1"/>
          <w:sz w:val="28"/>
          <w:szCs w:val="28"/>
          <w:highlight w:val="none"/>
          <w14:textFill>
            <w14:solidFill>
              <w14:schemeClr w14:val="tx1"/>
            </w14:solidFill>
          </w14:textFill>
        </w:rPr>
      </w:pPr>
    </w:p>
    <w:p w14:paraId="21AE067A">
      <w:pPr>
        <w:rPr>
          <w:rFonts w:hint="eastAsia" w:ascii="仿宋" w:hAnsi="仿宋" w:eastAsia="仿宋" w:cs="仿宋"/>
          <w:b/>
          <w:bCs/>
          <w:color w:val="000000" w:themeColor="text1"/>
          <w:sz w:val="28"/>
          <w:szCs w:val="28"/>
          <w:highlight w:val="none"/>
          <w14:textFill>
            <w14:solidFill>
              <w14:schemeClr w14:val="tx1"/>
            </w14:solidFill>
          </w14:textFill>
        </w:rPr>
      </w:pPr>
    </w:p>
    <w:p w14:paraId="2C3B3CAE">
      <w:pPr>
        <w:adjustRightInd w:val="0"/>
        <w:snapToGrid w:val="0"/>
        <w:spacing w:line="360" w:lineRule="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格式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b/>
          <w:bCs/>
          <w:color w:val="000000" w:themeColor="text1"/>
          <w:sz w:val="28"/>
          <w:szCs w:val="28"/>
          <w:highlight w:val="non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其他</w:t>
      </w:r>
    </w:p>
    <w:p w14:paraId="30AE7761">
      <w:pPr>
        <w:autoSpaceDE w:val="0"/>
        <w:autoSpaceDN w:val="0"/>
        <w:adjustRightInd w:val="0"/>
        <w:spacing w:after="120"/>
        <w:jc w:val="left"/>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 w:val="22"/>
          <w:szCs w:val="24"/>
          <w:highlight w:val="none"/>
          <w14:textFill>
            <w14:solidFill>
              <w14:schemeClr w14:val="tx1"/>
            </w14:solidFill>
          </w14:textFill>
        </w:rPr>
        <w:t>供应商认为有需要提供的资料或评分标准中涉及到评分的相关资料。</w:t>
      </w:r>
    </w:p>
    <w:p w14:paraId="7DC45AF6">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2A6E9D0D">
      <w:pPr>
        <w:spacing w:line="384" w:lineRule="auto"/>
        <w:rPr>
          <w:rFonts w:hint="eastAsia" w:ascii="仿宋" w:hAnsi="仿宋" w:eastAsia="仿宋" w:cs="仿宋"/>
          <w:b/>
          <w:color w:val="000000" w:themeColor="text1"/>
          <w:sz w:val="28"/>
          <w:szCs w:val="28"/>
          <w:highlight w:val="none"/>
          <w14:textFill>
            <w14:solidFill>
              <w14:schemeClr w14:val="tx1"/>
            </w14:solidFill>
          </w14:textFill>
        </w:rPr>
      </w:pPr>
    </w:p>
    <w:bookmarkEnd w:id="109"/>
    <w:p w14:paraId="30E97D33">
      <w:pPr>
        <w:rPr>
          <w:color w:val="000000" w:themeColor="text1"/>
          <w:highlight w:val="none"/>
          <w14:textFill>
            <w14:solidFill>
              <w14:schemeClr w14:val="tx1"/>
            </w14:solidFill>
          </w14:textFill>
        </w:rPr>
      </w:pPr>
    </w:p>
    <w:p w14:paraId="0874E7E5">
      <w:pPr>
        <w:rPr>
          <w:color w:val="000000" w:themeColor="text1"/>
          <w:highlight w:val="none"/>
          <w14:textFill>
            <w14:solidFill>
              <w14:schemeClr w14:val="tx1"/>
            </w14:solidFill>
          </w14:textFill>
        </w:rPr>
      </w:pPr>
    </w:p>
    <w:p w14:paraId="07F0F1EB">
      <w:pPr>
        <w:rPr>
          <w:color w:val="000000" w:themeColor="text1"/>
          <w:highlight w:val="none"/>
          <w14:textFill>
            <w14:solidFill>
              <w14:schemeClr w14:val="tx1"/>
            </w14:solidFill>
          </w14:textFill>
        </w:rPr>
      </w:pPr>
    </w:p>
    <w:p w14:paraId="417D80EA">
      <w:pPr>
        <w:rPr>
          <w:color w:val="000000" w:themeColor="text1"/>
          <w:highlight w:val="none"/>
          <w14:textFill>
            <w14:solidFill>
              <w14:schemeClr w14:val="tx1"/>
            </w14:solidFill>
          </w14:textFill>
        </w:rPr>
      </w:pPr>
    </w:p>
    <w:sectPr>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6124">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93393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BFAB4D">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j4q7MNwIAAGwEAAAOAAAAAAAAAAEAIAAAAB8BAABkcnMvZTJvRG9jLnht&#10;bFBLBQYAAAAABgAGAFkBAADIBQAAAAA=&#10;">
              <v:fill on="f" focussize="0,0"/>
              <v:stroke on="f" weight="0.5pt"/>
              <v:imagedata o:title=""/>
              <o:lock v:ext="edit" aspectratio="f"/>
              <v:textbox inset="0mm,0mm,0mm,0mm" style="mso-fit-shape-to-text:t;">
                <w:txbxContent>
                  <w:p w14:paraId="08BFAB4D">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8443">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15285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436B7E">
                          <w:pPr>
                            <w:pStyle w:val="23"/>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lYKBA5AgAAbAQAAA4AAAAAAAAAAQAgAAAAHwEAAGRycy9lMm9Eb2Mu&#10;eG1sUEsFBgAAAAAGAAYAWQEAAMoFAAAAAA==&#10;">
              <v:fill on="f" focussize="0,0"/>
              <v:stroke on="f" weight="0.5pt"/>
              <v:imagedata o:title=""/>
              <o:lock v:ext="edit" aspectratio="f"/>
              <v:textbox inset="0mm,0mm,0mm,0mm" style="mso-fit-shape-to-text:t;">
                <w:txbxContent>
                  <w:p w14:paraId="5E436B7E">
                    <w:pPr>
                      <w:pStyle w:val="23"/>
                    </w:pPr>
                    <w:r>
                      <w:fldChar w:fldCharType="begin"/>
                    </w:r>
                    <w:r>
                      <w:instrText xml:space="preserve"> PAGE  \* MERGEFORMAT </w:instrText>
                    </w:r>
                    <w:r>
                      <w:fldChar w:fldCharType="separate"/>
                    </w:r>
                    <w:r>
                      <w:t>127</w:t>
                    </w:r>
                    <w:r>
                      <w:fldChar w:fldCharType="end"/>
                    </w:r>
                  </w:p>
                </w:txbxContent>
              </v:textbox>
            </v:shape>
          </w:pict>
        </mc:Fallback>
      </mc:AlternateContent>
    </w:r>
  </w:p>
  <w:p w14:paraId="715FAA3F">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B2EB4">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11CCD9">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rg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LJJ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gv6uDICAABkBAAADgAAAAAAAAABACAAAAAfAQAAZHJzL2Uyb0RvYy54bWxQSwUG&#10;AAAAAAYABgBZAQAAwwUAAAAA&#10;">
              <v:fill on="f" focussize="0,0"/>
              <v:stroke on="f" weight="0.5pt"/>
              <v:imagedata o:title=""/>
              <o:lock v:ext="edit" aspectratio="f"/>
              <v:textbox inset="0mm,0mm,0mm,0mm" style="mso-fit-shape-to-text:t;">
                <w:txbxContent>
                  <w:p w14:paraId="7811CCD9">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ACB4">
    <w:pPr>
      <w:pStyle w:val="23"/>
      <w:rPr>
        <w:rFonts w:ascii="宋体" w:hAnsi="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417DDB53">
                          <w:pPr>
                            <w:pStyle w:val="2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Nq0/0oxAgAAUwQAAA4AAAAAAAAAAQAgAAAAIQEAAGRycy9lMm9Eb2MueG1sUEsF&#10;BgAAAAAGAAYAWQEAAMQFAAAAAA==&#10;">
              <v:fill on="f" focussize="0,0"/>
              <v:stroke on="f" weight="0.5pt"/>
              <v:imagedata o:title=""/>
              <o:lock v:ext="edit" aspectratio="f"/>
              <v:textbox inset="0mm,0mm,0mm,0mm" style="mso-fit-shape-to-text:t;">
                <w:txbxContent>
                  <w:p w14:paraId="417DDB53">
                    <w:pPr>
                      <w:pStyle w:val="2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755E">
    <w:pPr>
      <w:tabs>
        <w:tab w:val="center" w:pos="4153"/>
        <w:tab w:val="right" w:pos="8306"/>
      </w:tabs>
      <w:snapToGrid w:val="0"/>
      <w:jc w:val="left"/>
      <w:rPr>
        <w:rFonts w:hint="eastAsia" w:ascii="宋体" w:hAnsi="宋体" w:cs="宋体"/>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7627697"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4D775B60">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145</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dxhddIAAAADAQAADwAAAAAAAAABACAAAAAiAAAAZHJzL2Rvd25y&#10;ZXYueG1sUEsBAhQAFAAAAAgAh07iQJzEjqM9AgAAaAQAAA4AAAAAAAAAAQAgAAAAIQEAAGRycy9l&#10;Mm9Eb2MueG1sUEsFBgAAAAAGAAYAWQEAANAFAAAAAA==&#10;">
              <v:fill on="f" focussize="0,0"/>
              <v:stroke on="f" weight="0.5pt"/>
              <v:imagedata o:title=""/>
              <o:lock v:ext="edit" aspectratio="f"/>
              <v:textbox inset="0mm,0mm,0mm,0mm" style="mso-fit-shape-to-text:t;">
                <w:txbxContent>
                  <w:p w14:paraId="4D775B60">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145</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C58C">
    <w:pPr>
      <w:pStyle w:val="24"/>
      <w:jc w:val="right"/>
      <w:rPr>
        <w:rFonts w:hint="eastAsia" w:ascii="仿宋" w:hAnsi="仿宋" w:eastAsia="仿宋" w:cs="仿宋"/>
      </w:rPr>
    </w:pPr>
    <w:r>
      <w:rPr>
        <w:rFonts w:hint="eastAsia" w:ascii="仿宋" w:hAnsi="仿宋" w:eastAsia="仿宋" w:cs="仿宋"/>
      </w:rPr>
      <w:t>湖南鑫卫医药电子商务科技发展有限公司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eastAsiaTheme="minorEastAsia" w:cstheme="minorBidi"/>
        <w:szCs w:val="22"/>
      </w:rPr>
      <w:id w:val="139157860"/>
    </w:sdtPr>
    <w:sdtEndPr>
      <w:rPr>
        <w:rFonts w:hint="eastAsia" w:ascii="仿宋" w:hAnsi="仿宋" w:eastAsia="仿宋" w:cs="仿宋"/>
        <w:i/>
        <w:iCs/>
        <w:sz w:val="18"/>
        <w:szCs w:val="18"/>
      </w:rPr>
    </w:sdtEndPr>
    <w:sdtContent>
      <w:p w14:paraId="7504E055">
        <w:pPr>
          <w:widowControl/>
          <w:pBdr>
            <w:bottom w:val="single" w:color="auto" w:sz="6" w:space="1"/>
          </w:pBdr>
          <w:snapToGrid w:val="0"/>
          <w:jc w:val="right"/>
          <w:rPr>
            <w:rFonts w:hint="eastAsia" w:ascii="华文仿宋" w:hAnsi="华文仿宋" w:eastAsia="华文仿宋" w:cs="仿宋"/>
            <w:i/>
            <w:iCs/>
          </w:rPr>
        </w:pPr>
        <w:sdt>
          <w:sdtPr>
            <w:rPr>
              <w:sz w:val="18"/>
              <w:szCs w:val="18"/>
            </w:rPr>
            <w:id w:val="-1933350581"/>
          </w:sdtPr>
          <w:sdtEndPr>
            <w:rPr>
              <w:rFonts w:hint="eastAsia" w:ascii="华文仿宋" w:hAnsi="华文仿宋" w:eastAsia="华文仿宋" w:cs="仿宋"/>
              <w:i/>
              <w:iCs/>
              <w:sz w:val="21"/>
              <w:szCs w:val="21"/>
            </w:rPr>
          </w:sdtEndPr>
          <w:sdtContent>
            <w:r>
              <w:rPr>
                <w:rFonts w:hint="eastAsia" w:ascii="华文仿宋" w:hAnsi="华文仿宋" w:eastAsia="华文仿宋" w:cs="仿宋"/>
                <w:i/>
                <w:iCs/>
              </w:rPr>
              <w:t>湖南鑫卫医药电子商务科技发展有限公司</w:t>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25E2">
    <w:pPr>
      <w:pStyle w:val="24"/>
      <w:jc w:val="left"/>
    </w:pPr>
    <w:r>
      <w:rPr>
        <w:rFonts w:hint="eastAsia" w:ascii="仿宋" w:hAnsi="仿宋" w:eastAsia="仿宋" w:cs="宋体"/>
        <w:szCs w:val="18"/>
        <w:u w:val="single"/>
      </w:rPr>
      <w:t xml:space="preserve">                                              </w:t>
    </w:r>
    <w:r>
      <w:rPr>
        <w:rFonts w:ascii="仿宋" w:hAnsi="仿宋" w:eastAsia="仿宋" w:cs="宋体"/>
        <w:szCs w:val="18"/>
        <w:u w:val="single"/>
      </w:rPr>
      <w:t xml:space="preserve">                                                                 湖南鑫卫医药电子商务科技发展有限公司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5C7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E6CAB"/>
    <w:multiLevelType w:val="singleLevel"/>
    <w:tmpl w:val="ABAE6CAB"/>
    <w:lvl w:ilvl="0" w:tentative="0">
      <w:start w:val="3"/>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510"/>
        </w:tabs>
        <w:ind w:left="0" w:firstLine="510"/>
      </w:pPr>
      <w:rPr>
        <w:rFonts w:hint="eastAsia"/>
      </w:rPr>
    </w:lvl>
    <w:lvl w:ilvl="2" w:tentative="0">
      <w:start w:val="1"/>
      <w:numFmt w:val="decimal"/>
      <w:lvlText w:val="3.%3"/>
      <w:lvlJc w:val="left"/>
      <w:pPr>
        <w:tabs>
          <w:tab w:val="left" w:pos="0"/>
        </w:tabs>
        <w:ind w:left="0" w:firstLine="510"/>
      </w:pPr>
      <w:rPr>
        <w:rFonts w:hint="eastAsia"/>
      </w:rPr>
    </w:lvl>
    <w:lvl w:ilvl="3" w:tentative="0">
      <w:start w:val="1"/>
      <w:numFmt w:val="decimal"/>
      <w:lvlText w:val="%4)"/>
      <w:lvlJc w:val="left"/>
      <w:pPr>
        <w:tabs>
          <w:tab w:val="left" w:pos="540"/>
        </w:tabs>
        <w:ind w:left="30" w:firstLine="510"/>
      </w:pPr>
      <w:rPr>
        <w:rFonts w:hint="eastAsia"/>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28F96A3"/>
    <w:multiLevelType w:val="singleLevel"/>
    <w:tmpl w:val="428F96A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hideSpellingErrors/>
  <w:trackRevisions w:val="1"/>
  <w:documentProtection w:edit="trackedChanges" w:enforcement="0"/>
  <w:defaultTabStop w:val="420"/>
  <w:drawingGridHorizontalSpacing w:val="10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5ZGM1MDkwZDFjZjFhMTA3NDc3YzgyNDNmMzI1ODgifQ=="/>
  </w:docVars>
  <w:rsids>
    <w:rsidRoot w:val="001106E4"/>
    <w:rsid w:val="0000361F"/>
    <w:rsid w:val="00005374"/>
    <w:rsid w:val="00007671"/>
    <w:rsid w:val="00007ADD"/>
    <w:rsid w:val="0001017F"/>
    <w:rsid w:val="00010381"/>
    <w:rsid w:val="000121BF"/>
    <w:rsid w:val="00012408"/>
    <w:rsid w:val="00012A52"/>
    <w:rsid w:val="00022C86"/>
    <w:rsid w:val="00023095"/>
    <w:rsid w:val="000234B8"/>
    <w:rsid w:val="000235B6"/>
    <w:rsid w:val="00026575"/>
    <w:rsid w:val="000267D8"/>
    <w:rsid w:val="00026AC2"/>
    <w:rsid w:val="000272F9"/>
    <w:rsid w:val="00036CDD"/>
    <w:rsid w:val="00040EF8"/>
    <w:rsid w:val="00041471"/>
    <w:rsid w:val="00041E61"/>
    <w:rsid w:val="00041F20"/>
    <w:rsid w:val="00042A74"/>
    <w:rsid w:val="00044EAE"/>
    <w:rsid w:val="00046A88"/>
    <w:rsid w:val="0004737E"/>
    <w:rsid w:val="000476A6"/>
    <w:rsid w:val="00061FAF"/>
    <w:rsid w:val="00063590"/>
    <w:rsid w:val="00071E2C"/>
    <w:rsid w:val="00072523"/>
    <w:rsid w:val="00072B1B"/>
    <w:rsid w:val="00073039"/>
    <w:rsid w:val="00076F1A"/>
    <w:rsid w:val="000770F7"/>
    <w:rsid w:val="000779E3"/>
    <w:rsid w:val="00080072"/>
    <w:rsid w:val="000801AB"/>
    <w:rsid w:val="000810F1"/>
    <w:rsid w:val="000812E5"/>
    <w:rsid w:val="0008327C"/>
    <w:rsid w:val="000839AD"/>
    <w:rsid w:val="00084242"/>
    <w:rsid w:val="000850DC"/>
    <w:rsid w:val="00087477"/>
    <w:rsid w:val="000876FD"/>
    <w:rsid w:val="00090AC5"/>
    <w:rsid w:val="00090F5D"/>
    <w:rsid w:val="00091F05"/>
    <w:rsid w:val="00093272"/>
    <w:rsid w:val="00094D9E"/>
    <w:rsid w:val="000966F3"/>
    <w:rsid w:val="00096E6B"/>
    <w:rsid w:val="000972FC"/>
    <w:rsid w:val="0009785E"/>
    <w:rsid w:val="000A07E9"/>
    <w:rsid w:val="000A2599"/>
    <w:rsid w:val="000A34DB"/>
    <w:rsid w:val="000A7E8A"/>
    <w:rsid w:val="000B0469"/>
    <w:rsid w:val="000B215B"/>
    <w:rsid w:val="000B3905"/>
    <w:rsid w:val="000B4BE1"/>
    <w:rsid w:val="000B5112"/>
    <w:rsid w:val="000B5128"/>
    <w:rsid w:val="000C0D47"/>
    <w:rsid w:val="000C1271"/>
    <w:rsid w:val="000C3FBE"/>
    <w:rsid w:val="000C4B56"/>
    <w:rsid w:val="000C67E3"/>
    <w:rsid w:val="000C6EA6"/>
    <w:rsid w:val="000C7205"/>
    <w:rsid w:val="000C78CB"/>
    <w:rsid w:val="000D1A38"/>
    <w:rsid w:val="000D72DD"/>
    <w:rsid w:val="000E0FF4"/>
    <w:rsid w:val="000E270B"/>
    <w:rsid w:val="000E39B5"/>
    <w:rsid w:val="000E6D90"/>
    <w:rsid w:val="000E783C"/>
    <w:rsid w:val="000E79D7"/>
    <w:rsid w:val="000E7F1B"/>
    <w:rsid w:val="000F0B8D"/>
    <w:rsid w:val="000F170D"/>
    <w:rsid w:val="000F2C56"/>
    <w:rsid w:val="001021B2"/>
    <w:rsid w:val="00104FBA"/>
    <w:rsid w:val="00106447"/>
    <w:rsid w:val="0011007D"/>
    <w:rsid w:val="001106E4"/>
    <w:rsid w:val="00111545"/>
    <w:rsid w:val="0011191E"/>
    <w:rsid w:val="0011374E"/>
    <w:rsid w:val="0011760F"/>
    <w:rsid w:val="00120F4C"/>
    <w:rsid w:val="001213A9"/>
    <w:rsid w:val="00124BC3"/>
    <w:rsid w:val="00125632"/>
    <w:rsid w:val="00127FAF"/>
    <w:rsid w:val="00131BFA"/>
    <w:rsid w:val="00134749"/>
    <w:rsid w:val="00135004"/>
    <w:rsid w:val="00135EF2"/>
    <w:rsid w:val="0013692B"/>
    <w:rsid w:val="00137211"/>
    <w:rsid w:val="00141D29"/>
    <w:rsid w:val="0014561A"/>
    <w:rsid w:val="00146328"/>
    <w:rsid w:val="00152BBA"/>
    <w:rsid w:val="00153F00"/>
    <w:rsid w:val="001579D6"/>
    <w:rsid w:val="00161DA1"/>
    <w:rsid w:val="00162BE4"/>
    <w:rsid w:val="00163FF9"/>
    <w:rsid w:val="00170E0F"/>
    <w:rsid w:val="00171E87"/>
    <w:rsid w:val="00172110"/>
    <w:rsid w:val="001733BA"/>
    <w:rsid w:val="00175903"/>
    <w:rsid w:val="001878ED"/>
    <w:rsid w:val="00191C6E"/>
    <w:rsid w:val="0019291B"/>
    <w:rsid w:val="001932B2"/>
    <w:rsid w:val="00194402"/>
    <w:rsid w:val="0019548B"/>
    <w:rsid w:val="001956DC"/>
    <w:rsid w:val="001957DC"/>
    <w:rsid w:val="00195E94"/>
    <w:rsid w:val="001A04CD"/>
    <w:rsid w:val="001A0E8D"/>
    <w:rsid w:val="001A1AAA"/>
    <w:rsid w:val="001A56AA"/>
    <w:rsid w:val="001A5D8D"/>
    <w:rsid w:val="001A68B6"/>
    <w:rsid w:val="001B186B"/>
    <w:rsid w:val="001B2978"/>
    <w:rsid w:val="001B2B99"/>
    <w:rsid w:val="001B64D6"/>
    <w:rsid w:val="001B6D61"/>
    <w:rsid w:val="001B7E73"/>
    <w:rsid w:val="001C3420"/>
    <w:rsid w:val="001C3429"/>
    <w:rsid w:val="001C3A6C"/>
    <w:rsid w:val="001C4647"/>
    <w:rsid w:val="001D1286"/>
    <w:rsid w:val="001D13F4"/>
    <w:rsid w:val="001D14A1"/>
    <w:rsid w:val="001D28D9"/>
    <w:rsid w:val="001D3BF1"/>
    <w:rsid w:val="001D3D89"/>
    <w:rsid w:val="001D4951"/>
    <w:rsid w:val="001D7460"/>
    <w:rsid w:val="001E13B6"/>
    <w:rsid w:val="001E32C2"/>
    <w:rsid w:val="001E4A64"/>
    <w:rsid w:val="001E6962"/>
    <w:rsid w:val="001F111E"/>
    <w:rsid w:val="001F3760"/>
    <w:rsid w:val="001F6F51"/>
    <w:rsid w:val="001F759B"/>
    <w:rsid w:val="001F7761"/>
    <w:rsid w:val="002008A2"/>
    <w:rsid w:val="00202FED"/>
    <w:rsid w:val="002042A2"/>
    <w:rsid w:val="00204372"/>
    <w:rsid w:val="0021020F"/>
    <w:rsid w:val="002147C4"/>
    <w:rsid w:val="00216D89"/>
    <w:rsid w:val="0022493E"/>
    <w:rsid w:val="002274B9"/>
    <w:rsid w:val="002307D2"/>
    <w:rsid w:val="002328AF"/>
    <w:rsid w:val="00236E98"/>
    <w:rsid w:val="00240E4B"/>
    <w:rsid w:val="00243424"/>
    <w:rsid w:val="00247BD7"/>
    <w:rsid w:val="002501FB"/>
    <w:rsid w:val="0025152E"/>
    <w:rsid w:val="002527C3"/>
    <w:rsid w:val="00254400"/>
    <w:rsid w:val="00255924"/>
    <w:rsid w:val="002562BB"/>
    <w:rsid w:val="002571C1"/>
    <w:rsid w:val="00260EBB"/>
    <w:rsid w:val="002616B3"/>
    <w:rsid w:val="00262724"/>
    <w:rsid w:val="00263FBF"/>
    <w:rsid w:val="00265FB9"/>
    <w:rsid w:val="00267ABD"/>
    <w:rsid w:val="002703F5"/>
    <w:rsid w:val="002728CA"/>
    <w:rsid w:val="002734D0"/>
    <w:rsid w:val="00273F55"/>
    <w:rsid w:val="00274DFF"/>
    <w:rsid w:val="002759D4"/>
    <w:rsid w:val="0028125C"/>
    <w:rsid w:val="00281AED"/>
    <w:rsid w:val="002828EA"/>
    <w:rsid w:val="00284386"/>
    <w:rsid w:val="00285C8A"/>
    <w:rsid w:val="00286D9A"/>
    <w:rsid w:val="00287002"/>
    <w:rsid w:val="00287A39"/>
    <w:rsid w:val="00292657"/>
    <w:rsid w:val="00295337"/>
    <w:rsid w:val="00295CAD"/>
    <w:rsid w:val="00296302"/>
    <w:rsid w:val="0029783B"/>
    <w:rsid w:val="002A2B70"/>
    <w:rsid w:val="002A2C0B"/>
    <w:rsid w:val="002A3579"/>
    <w:rsid w:val="002B4725"/>
    <w:rsid w:val="002B4C5E"/>
    <w:rsid w:val="002B5E32"/>
    <w:rsid w:val="002B6934"/>
    <w:rsid w:val="002C0E91"/>
    <w:rsid w:val="002C38A6"/>
    <w:rsid w:val="002C5A48"/>
    <w:rsid w:val="002C6424"/>
    <w:rsid w:val="002D54F6"/>
    <w:rsid w:val="002E0D5C"/>
    <w:rsid w:val="002E31A0"/>
    <w:rsid w:val="002E3F7C"/>
    <w:rsid w:val="002E50C1"/>
    <w:rsid w:val="002E59EC"/>
    <w:rsid w:val="002E7384"/>
    <w:rsid w:val="002F0F7B"/>
    <w:rsid w:val="002F2062"/>
    <w:rsid w:val="002F2E1C"/>
    <w:rsid w:val="002F3A5D"/>
    <w:rsid w:val="002F3AAD"/>
    <w:rsid w:val="002F4BDB"/>
    <w:rsid w:val="00300071"/>
    <w:rsid w:val="00311484"/>
    <w:rsid w:val="00313B3B"/>
    <w:rsid w:val="00314F9C"/>
    <w:rsid w:val="003150EE"/>
    <w:rsid w:val="0032094E"/>
    <w:rsid w:val="003218AE"/>
    <w:rsid w:val="003233A3"/>
    <w:rsid w:val="003271D9"/>
    <w:rsid w:val="00330FE5"/>
    <w:rsid w:val="00330FF2"/>
    <w:rsid w:val="0033321D"/>
    <w:rsid w:val="00334D36"/>
    <w:rsid w:val="00335CC2"/>
    <w:rsid w:val="00336992"/>
    <w:rsid w:val="00337192"/>
    <w:rsid w:val="00340CDB"/>
    <w:rsid w:val="00341510"/>
    <w:rsid w:val="0034164E"/>
    <w:rsid w:val="00342803"/>
    <w:rsid w:val="00342B24"/>
    <w:rsid w:val="00342F8C"/>
    <w:rsid w:val="00343FD7"/>
    <w:rsid w:val="00344DA2"/>
    <w:rsid w:val="00345523"/>
    <w:rsid w:val="00346A30"/>
    <w:rsid w:val="00346EB3"/>
    <w:rsid w:val="00351331"/>
    <w:rsid w:val="003520D4"/>
    <w:rsid w:val="0035441E"/>
    <w:rsid w:val="0035518B"/>
    <w:rsid w:val="003562AF"/>
    <w:rsid w:val="0035632D"/>
    <w:rsid w:val="0035675B"/>
    <w:rsid w:val="003568E6"/>
    <w:rsid w:val="00357634"/>
    <w:rsid w:val="00362BBA"/>
    <w:rsid w:val="00364683"/>
    <w:rsid w:val="00364981"/>
    <w:rsid w:val="00364D24"/>
    <w:rsid w:val="00366001"/>
    <w:rsid w:val="0036728B"/>
    <w:rsid w:val="0037539C"/>
    <w:rsid w:val="003763D6"/>
    <w:rsid w:val="003777F8"/>
    <w:rsid w:val="0038217C"/>
    <w:rsid w:val="00383A74"/>
    <w:rsid w:val="0038409D"/>
    <w:rsid w:val="0038428A"/>
    <w:rsid w:val="0038609D"/>
    <w:rsid w:val="00386C42"/>
    <w:rsid w:val="00386F3C"/>
    <w:rsid w:val="0039038F"/>
    <w:rsid w:val="003906A6"/>
    <w:rsid w:val="00391651"/>
    <w:rsid w:val="00395581"/>
    <w:rsid w:val="00395A03"/>
    <w:rsid w:val="003A1197"/>
    <w:rsid w:val="003A209E"/>
    <w:rsid w:val="003A2D4D"/>
    <w:rsid w:val="003A3745"/>
    <w:rsid w:val="003A4F90"/>
    <w:rsid w:val="003A52EF"/>
    <w:rsid w:val="003A5306"/>
    <w:rsid w:val="003A58CA"/>
    <w:rsid w:val="003B4D43"/>
    <w:rsid w:val="003B67B0"/>
    <w:rsid w:val="003B7B05"/>
    <w:rsid w:val="003C0548"/>
    <w:rsid w:val="003C05BB"/>
    <w:rsid w:val="003C34FC"/>
    <w:rsid w:val="003C452E"/>
    <w:rsid w:val="003C50A3"/>
    <w:rsid w:val="003C7001"/>
    <w:rsid w:val="003C7FD5"/>
    <w:rsid w:val="003D0978"/>
    <w:rsid w:val="003D09F3"/>
    <w:rsid w:val="003D2EBA"/>
    <w:rsid w:val="003D4F50"/>
    <w:rsid w:val="003E0341"/>
    <w:rsid w:val="003E0B9C"/>
    <w:rsid w:val="003E43D9"/>
    <w:rsid w:val="003E7CB3"/>
    <w:rsid w:val="003F1AE7"/>
    <w:rsid w:val="003F6191"/>
    <w:rsid w:val="003F7A67"/>
    <w:rsid w:val="00400828"/>
    <w:rsid w:val="004030AB"/>
    <w:rsid w:val="0040379C"/>
    <w:rsid w:val="004106DC"/>
    <w:rsid w:val="00412B9D"/>
    <w:rsid w:val="0041624A"/>
    <w:rsid w:val="00417A8B"/>
    <w:rsid w:val="004217BD"/>
    <w:rsid w:val="0042386E"/>
    <w:rsid w:val="00423BC4"/>
    <w:rsid w:val="00425481"/>
    <w:rsid w:val="00425AA0"/>
    <w:rsid w:val="00427638"/>
    <w:rsid w:val="00435874"/>
    <w:rsid w:val="00436210"/>
    <w:rsid w:val="00436624"/>
    <w:rsid w:val="00441B17"/>
    <w:rsid w:val="00442A44"/>
    <w:rsid w:val="00443397"/>
    <w:rsid w:val="0044393E"/>
    <w:rsid w:val="00445931"/>
    <w:rsid w:val="0044624F"/>
    <w:rsid w:val="00446739"/>
    <w:rsid w:val="00446DF8"/>
    <w:rsid w:val="0045033A"/>
    <w:rsid w:val="004517E5"/>
    <w:rsid w:val="00451FFB"/>
    <w:rsid w:val="00454116"/>
    <w:rsid w:val="004544AF"/>
    <w:rsid w:val="00457B36"/>
    <w:rsid w:val="00457B57"/>
    <w:rsid w:val="00457C42"/>
    <w:rsid w:val="00457F60"/>
    <w:rsid w:val="00460081"/>
    <w:rsid w:val="0046113C"/>
    <w:rsid w:val="0046120B"/>
    <w:rsid w:val="00461B02"/>
    <w:rsid w:val="0046378A"/>
    <w:rsid w:val="00466972"/>
    <w:rsid w:val="004677A9"/>
    <w:rsid w:val="00472502"/>
    <w:rsid w:val="00480C14"/>
    <w:rsid w:val="004835B2"/>
    <w:rsid w:val="0048470D"/>
    <w:rsid w:val="0048500C"/>
    <w:rsid w:val="0048631C"/>
    <w:rsid w:val="00486C9D"/>
    <w:rsid w:val="0048785C"/>
    <w:rsid w:val="004906B0"/>
    <w:rsid w:val="00490D3B"/>
    <w:rsid w:val="00493DCB"/>
    <w:rsid w:val="00496BA7"/>
    <w:rsid w:val="004A3D52"/>
    <w:rsid w:val="004A4AD5"/>
    <w:rsid w:val="004A5671"/>
    <w:rsid w:val="004A7741"/>
    <w:rsid w:val="004B0750"/>
    <w:rsid w:val="004B22B1"/>
    <w:rsid w:val="004B22B8"/>
    <w:rsid w:val="004B29F8"/>
    <w:rsid w:val="004B314B"/>
    <w:rsid w:val="004B6526"/>
    <w:rsid w:val="004B715B"/>
    <w:rsid w:val="004B7F98"/>
    <w:rsid w:val="004C4368"/>
    <w:rsid w:val="004C47FB"/>
    <w:rsid w:val="004C6207"/>
    <w:rsid w:val="004D1830"/>
    <w:rsid w:val="004D3BBB"/>
    <w:rsid w:val="004D5CAF"/>
    <w:rsid w:val="004D6065"/>
    <w:rsid w:val="004D64AB"/>
    <w:rsid w:val="004D6F26"/>
    <w:rsid w:val="004D755D"/>
    <w:rsid w:val="004E0030"/>
    <w:rsid w:val="004E130B"/>
    <w:rsid w:val="004E3464"/>
    <w:rsid w:val="004E389A"/>
    <w:rsid w:val="004E5DCD"/>
    <w:rsid w:val="004E6470"/>
    <w:rsid w:val="004F0170"/>
    <w:rsid w:val="004F323E"/>
    <w:rsid w:val="00501A03"/>
    <w:rsid w:val="00501B7B"/>
    <w:rsid w:val="00502EA1"/>
    <w:rsid w:val="005030CF"/>
    <w:rsid w:val="005068AA"/>
    <w:rsid w:val="005079E1"/>
    <w:rsid w:val="0051091A"/>
    <w:rsid w:val="00511120"/>
    <w:rsid w:val="0051211D"/>
    <w:rsid w:val="00512365"/>
    <w:rsid w:val="00513CF4"/>
    <w:rsid w:val="005242BE"/>
    <w:rsid w:val="00527B58"/>
    <w:rsid w:val="00530243"/>
    <w:rsid w:val="00543D4A"/>
    <w:rsid w:val="0054519C"/>
    <w:rsid w:val="00545EC4"/>
    <w:rsid w:val="00547437"/>
    <w:rsid w:val="005477CC"/>
    <w:rsid w:val="00550338"/>
    <w:rsid w:val="00551AC6"/>
    <w:rsid w:val="00552CFF"/>
    <w:rsid w:val="005637A5"/>
    <w:rsid w:val="0056463B"/>
    <w:rsid w:val="00565EDD"/>
    <w:rsid w:val="0056687B"/>
    <w:rsid w:val="005727CA"/>
    <w:rsid w:val="00573EFA"/>
    <w:rsid w:val="00574C40"/>
    <w:rsid w:val="005802FF"/>
    <w:rsid w:val="005815D7"/>
    <w:rsid w:val="00582586"/>
    <w:rsid w:val="005826FE"/>
    <w:rsid w:val="00583094"/>
    <w:rsid w:val="00586411"/>
    <w:rsid w:val="00587546"/>
    <w:rsid w:val="005916D5"/>
    <w:rsid w:val="00592C7A"/>
    <w:rsid w:val="00594B83"/>
    <w:rsid w:val="00595C12"/>
    <w:rsid w:val="005971D3"/>
    <w:rsid w:val="005A1218"/>
    <w:rsid w:val="005A3843"/>
    <w:rsid w:val="005A45EE"/>
    <w:rsid w:val="005A4DF3"/>
    <w:rsid w:val="005A7384"/>
    <w:rsid w:val="005B274F"/>
    <w:rsid w:val="005B42B0"/>
    <w:rsid w:val="005B5924"/>
    <w:rsid w:val="005B59A9"/>
    <w:rsid w:val="005B75E3"/>
    <w:rsid w:val="005C3D41"/>
    <w:rsid w:val="005C5FDE"/>
    <w:rsid w:val="005D05D2"/>
    <w:rsid w:val="005D0765"/>
    <w:rsid w:val="005D7124"/>
    <w:rsid w:val="005D7D6A"/>
    <w:rsid w:val="005E0148"/>
    <w:rsid w:val="005E4969"/>
    <w:rsid w:val="005E795F"/>
    <w:rsid w:val="005F329C"/>
    <w:rsid w:val="005F7424"/>
    <w:rsid w:val="0060041F"/>
    <w:rsid w:val="006004F2"/>
    <w:rsid w:val="00602D00"/>
    <w:rsid w:val="006038A2"/>
    <w:rsid w:val="00603CCE"/>
    <w:rsid w:val="00603E76"/>
    <w:rsid w:val="00603EEC"/>
    <w:rsid w:val="0060495C"/>
    <w:rsid w:val="00606497"/>
    <w:rsid w:val="00607A9A"/>
    <w:rsid w:val="00610142"/>
    <w:rsid w:val="00610E47"/>
    <w:rsid w:val="00611BF6"/>
    <w:rsid w:val="00613DEE"/>
    <w:rsid w:val="006142AC"/>
    <w:rsid w:val="006146D3"/>
    <w:rsid w:val="00614883"/>
    <w:rsid w:val="006174C7"/>
    <w:rsid w:val="006179DC"/>
    <w:rsid w:val="00617EC7"/>
    <w:rsid w:val="00624F3D"/>
    <w:rsid w:val="006258DE"/>
    <w:rsid w:val="00631D65"/>
    <w:rsid w:val="00633FA3"/>
    <w:rsid w:val="00634E7A"/>
    <w:rsid w:val="00641A2B"/>
    <w:rsid w:val="006428EA"/>
    <w:rsid w:val="0064298E"/>
    <w:rsid w:val="006454C9"/>
    <w:rsid w:val="00645777"/>
    <w:rsid w:val="006468D5"/>
    <w:rsid w:val="00646FE2"/>
    <w:rsid w:val="00650773"/>
    <w:rsid w:val="00652C2A"/>
    <w:rsid w:val="00654B02"/>
    <w:rsid w:val="0065547C"/>
    <w:rsid w:val="00657EC3"/>
    <w:rsid w:val="00663552"/>
    <w:rsid w:val="00663A64"/>
    <w:rsid w:val="006658E8"/>
    <w:rsid w:val="00666492"/>
    <w:rsid w:val="00667D53"/>
    <w:rsid w:val="00675CEA"/>
    <w:rsid w:val="00684914"/>
    <w:rsid w:val="0069002A"/>
    <w:rsid w:val="0069039A"/>
    <w:rsid w:val="0069242B"/>
    <w:rsid w:val="00694BE3"/>
    <w:rsid w:val="006964E0"/>
    <w:rsid w:val="00697883"/>
    <w:rsid w:val="006B1F0B"/>
    <w:rsid w:val="006B263D"/>
    <w:rsid w:val="006B377D"/>
    <w:rsid w:val="006B6A1A"/>
    <w:rsid w:val="006B7036"/>
    <w:rsid w:val="006C279B"/>
    <w:rsid w:val="006C4AE5"/>
    <w:rsid w:val="006C727F"/>
    <w:rsid w:val="006D27D7"/>
    <w:rsid w:val="006D4746"/>
    <w:rsid w:val="006D6E53"/>
    <w:rsid w:val="006E10A3"/>
    <w:rsid w:val="006E1912"/>
    <w:rsid w:val="006E2797"/>
    <w:rsid w:val="006E3DDC"/>
    <w:rsid w:val="006E4DA0"/>
    <w:rsid w:val="006E63F5"/>
    <w:rsid w:val="006E6EEA"/>
    <w:rsid w:val="006E7927"/>
    <w:rsid w:val="006F3F10"/>
    <w:rsid w:val="006F4739"/>
    <w:rsid w:val="006F58B3"/>
    <w:rsid w:val="006F5EC8"/>
    <w:rsid w:val="006F6954"/>
    <w:rsid w:val="00701829"/>
    <w:rsid w:val="0070234C"/>
    <w:rsid w:val="00705A7C"/>
    <w:rsid w:val="00705E56"/>
    <w:rsid w:val="00707954"/>
    <w:rsid w:val="00710269"/>
    <w:rsid w:val="00711B1F"/>
    <w:rsid w:val="00712824"/>
    <w:rsid w:val="00713AC3"/>
    <w:rsid w:val="007162AF"/>
    <w:rsid w:val="00717177"/>
    <w:rsid w:val="007177A4"/>
    <w:rsid w:val="007201AA"/>
    <w:rsid w:val="00722CAD"/>
    <w:rsid w:val="00724981"/>
    <w:rsid w:val="007253C4"/>
    <w:rsid w:val="0073275A"/>
    <w:rsid w:val="00732AC8"/>
    <w:rsid w:val="007401F1"/>
    <w:rsid w:val="007438C4"/>
    <w:rsid w:val="00744B3D"/>
    <w:rsid w:val="00744CDD"/>
    <w:rsid w:val="00747631"/>
    <w:rsid w:val="007510E5"/>
    <w:rsid w:val="0075376A"/>
    <w:rsid w:val="00760772"/>
    <w:rsid w:val="00760ED0"/>
    <w:rsid w:val="00761854"/>
    <w:rsid w:val="00763798"/>
    <w:rsid w:val="0076395A"/>
    <w:rsid w:val="00763C72"/>
    <w:rsid w:val="007657F5"/>
    <w:rsid w:val="0076669A"/>
    <w:rsid w:val="0077125E"/>
    <w:rsid w:val="007731A3"/>
    <w:rsid w:val="0077359E"/>
    <w:rsid w:val="00774059"/>
    <w:rsid w:val="007743EA"/>
    <w:rsid w:val="007753D9"/>
    <w:rsid w:val="007753EF"/>
    <w:rsid w:val="007817FA"/>
    <w:rsid w:val="00784E9A"/>
    <w:rsid w:val="00786FD4"/>
    <w:rsid w:val="00787294"/>
    <w:rsid w:val="00787B26"/>
    <w:rsid w:val="00791C25"/>
    <w:rsid w:val="007921ED"/>
    <w:rsid w:val="007933C0"/>
    <w:rsid w:val="007935AC"/>
    <w:rsid w:val="00793BA2"/>
    <w:rsid w:val="0079461D"/>
    <w:rsid w:val="0079725F"/>
    <w:rsid w:val="007A1C39"/>
    <w:rsid w:val="007A1E43"/>
    <w:rsid w:val="007A3492"/>
    <w:rsid w:val="007A5218"/>
    <w:rsid w:val="007A7E2C"/>
    <w:rsid w:val="007B072A"/>
    <w:rsid w:val="007B10DD"/>
    <w:rsid w:val="007B1243"/>
    <w:rsid w:val="007B26AC"/>
    <w:rsid w:val="007B26CE"/>
    <w:rsid w:val="007B2B2C"/>
    <w:rsid w:val="007B2BEB"/>
    <w:rsid w:val="007B5CA2"/>
    <w:rsid w:val="007B7092"/>
    <w:rsid w:val="007B7E22"/>
    <w:rsid w:val="007C18DF"/>
    <w:rsid w:val="007C18F1"/>
    <w:rsid w:val="007C25FD"/>
    <w:rsid w:val="007C4AE3"/>
    <w:rsid w:val="007C4EE9"/>
    <w:rsid w:val="007D5274"/>
    <w:rsid w:val="007D5471"/>
    <w:rsid w:val="007D71BC"/>
    <w:rsid w:val="007D7783"/>
    <w:rsid w:val="007E0BC5"/>
    <w:rsid w:val="007E378D"/>
    <w:rsid w:val="007E52FD"/>
    <w:rsid w:val="007E58BA"/>
    <w:rsid w:val="007E5EAE"/>
    <w:rsid w:val="007E671E"/>
    <w:rsid w:val="007F0F0E"/>
    <w:rsid w:val="007F128F"/>
    <w:rsid w:val="007F18CA"/>
    <w:rsid w:val="007F429C"/>
    <w:rsid w:val="007F48CC"/>
    <w:rsid w:val="007F4C8F"/>
    <w:rsid w:val="007F5919"/>
    <w:rsid w:val="0080103B"/>
    <w:rsid w:val="00805763"/>
    <w:rsid w:val="00805CC8"/>
    <w:rsid w:val="0080736E"/>
    <w:rsid w:val="008077C2"/>
    <w:rsid w:val="00812E97"/>
    <w:rsid w:val="00814B1F"/>
    <w:rsid w:val="00817254"/>
    <w:rsid w:val="00822BB9"/>
    <w:rsid w:val="00822D28"/>
    <w:rsid w:val="0082430E"/>
    <w:rsid w:val="00824C54"/>
    <w:rsid w:val="00826142"/>
    <w:rsid w:val="00826D03"/>
    <w:rsid w:val="00834F78"/>
    <w:rsid w:val="008354E7"/>
    <w:rsid w:val="0083655A"/>
    <w:rsid w:val="00836678"/>
    <w:rsid w:val="00837566"/>
    <w:rsid w:val="00846050"/>
    <w:rsid w:val="008473CB"/>
    <w:rsid w:val="00861EC7"/>
    <w:rsid w:val="00863C17"/>
    <w:rsid w:val="00864B40"/>
    <w:rsid w:val="0086549B"/>
    <w:rsid w:val="00870669"/>
    <w:rsid w:val="00874D3B"/>
    <w:rsid w:val="00880EAE"/>
    <w:rsid w:val="0088792F"/>
    <w:rsid w:val="008931F0"/>
    <w:rsid w:val="008A129B"/>
    <w:rsid w:val="008A220F"/>
    <w:rsid w:val="008A2891"/>
    <w:rsid w:val="008B0179"/>
    <w:rsid w:val="008B1366"/>
    <w:rsid w:val="008B4050"/>
    <w:rsid w:val="008B4FB4"/>
    <w:rsid w:val="008C48D9"/>
    <w:rsid w:val="008C4DFB"/>
    <w:rsid w:val="008C6454"/>
    <w:rsid w:val="008C6E89"/>
    <w:rsid w:val="008C773A"/>
    <w:rsid w:val="008D023D"/>
    <w:rsid w:val="008D2651"/>
    <w:rsid w:val="008D3023"/>
    <w:rsid w:val="008D3028"/>
    <w:rsid w:val="008D35AF"/>
    <w:rsid w:val="008D4FE5"/>
    <w:rsid w:val="008D6D90"/>
    <w:rsid w:val="008D6DD7"/>
    <w:rsid w:val="008E0730"/>
    <w:rsid w:val="008E17D0"/>
    <w:rsid w:val="008E26F2"/>
    <w:rsid w:val="008E5BC8"/>
    <w:rsid w:val="008E7F7E"/>
    <w:rsid w:val="008F1AA3"/>
    <w:rsid w:val="008F31EA"/>
    <w:rsid w:val="008F377E"/>
    <w:rsid w:val="008F4120"/>
    <w:rsid w:val="00901F48"/>
    <w:rsid w:val="00902E13"/>
    <w:rsid w:val="00903A71"/>
    <w:rsid w:val="009054B8"/>
    <w:rsid w:val="00906339"/>
    <w:rsid w:val="00912951"/>
    <w:rsid w:val="00912DD8"/>
    <w:rsid w:val="00914CAC"/>
    <w:rsid w:val="0091670C"/>
    <w:rsid w:val="00916D41"/>
    <w:rsid w:val="00917808"/>
    <w:rsid w:val="0092074F"/>
    <w:rsid w:val="00922516"/>
    <w:rsid w:val="00927EAD"/>
    <w:rsid w:val="00930AC4"/>
    <w:rsid w:val="00932E72"/>
    <w:rsid w:val="00934674"/>
    <w:rsid w:val="00937492"/>
    <w:rsid w:val="00944D92"/>
    <w:rsid w:val="00945FFA"/>
    <w:rsid w:val="0095246E"/>
    <w:rsid w:val="00961881"/>
    <w:rsid w:val="00962D7A"/>
    <w:rsid w:val="00963A9A"/>
    <w:rsid w:val="00970538"/>
    <w:rsid w:val="00970C18"/>
    <w:rsid w:val="00970DB4"/>
    <w:rsid w:val="00973EDB"/>
    <w:rsid w:val="009761A5"/>
    <w:rsid w:val="00976474"/>
    <w:rsid w:val="0097688B"/>
    <w:rsid w:val="00977BBC"/>
    <w:rsid w:val="00980345"/>
    <w:rsid w:val="009825E5"/>
    <w:rsid w:val="009834CA"/>
    <w:rsid w:val="009835B3"/>
    <w:rsid w:val="00983B29"/>
    <w:rsid w:val="00983C04"/>
    <w:rsid w:val="00985BF3"/>
    <w:rsid w:val="00986D6E"/>
    <w:rsid w:val="009878B0"/>
    <w:rsid w:val="0099090B"/>
    <w:rsid w:val="00993450"/>
    <w:rsid w:val="00994F2B"/>
    <w:rsid w:val="00996CB4"/>
    <w:rsid w:val="0099779A"/>
    <w:rsid w:val="009978F3"/>
    <w:rsid w:val="00997A14"/>
    <w:rsid w:val="00997E00"/>
    <w:rsid w:val="009A2514"/>
    <w:rsid w:val="009A28F2"/>
    <w:rsid w:val="009A4927"/>
    <w:rsid w:val="009A4C0C"/>
    <w:rsid w:val="009A6A1C"/>
    <w:rsid w:val="009B3611"/>
    <w:rsid w:val="009B7279"/>
    <w:rsid w:val="009C06F0"/>
    <w:rsid w:val="009C1E5F"/>
    <w:rsid w:val="009C55D6"/>
    <w:rsid w:val="009C5DB2"/>
    <w:rsid w:val="009C61B2"/>
    <w:rsid w:val="009D16A7"/>
    <w:rsid w:val="009D19E5"/>
    <w:rsid w:val="009D1B93"/>
    <w:rsid w:val="009D1D41"/>
    <w:rsid w:val="009D2BEA"/>
    <w:rsid w:val="009D721D"/>
    <w:rsid w:val="009E0BA3"/>
    <w:rsid w:val="009E6683"/>
    <w:rsid w:val="009E70EF"/>
    <w:rsid w:val="009F04FD"/>
    <w:rsid w:val="009F1764"/>
    <w:rsid w:val="00A01097"/>
    <w:rsid w:val="00A01CC1"/>
    <w:rsid w:val="00A068EA"/>
    <w:rsid w:val="00A06AAC"/>
    <w:rsid w:val="00A1048F"/>
    <w:rsid w:val="00A11FDE"/>
    <w:rsid w:val="00A13419"/>
    <w:rsid w:val="00A15343"/>
    <w:rsid w:val="00A158BA"/>
    <w:rsid w:val="00A16DC8"/>
    <w:rsid w:val="00A22BC5"/>
    <w:rsid w:val="00A23879"/>
    <w:rsid w:val="00A24F40"/>
    <w:rsid w:val="00A27930"/>
    <w:rsid w:val="00A31D0C"/>
    <w:rsid w:val="00A3253E"/>
    <w:rsid w:val="00A34BE0"/>
    <w:rsid w:val="00A35071"/>
    <w:rsid w:val="00A40CC3"/>
    <w:rsid w:val="00A46CE3"/>
    <w:rsid w:val="00A473E9"/>
    <w:rsid w:val="00A51B20"/>
    <w:rsid w:val="00A53F78"/>
    <w:rsid w:val="00A541E8"/>
    <w:rsid w:val="00A54712"/>
    <w:rsid w:val="00A558AD"/>
    <w:rsid w:val="00A56ED1"/>
    <w:rsid w:val="00A57B44"/>
    <w:rsid w:val="00A57F72"/>
    <w:rsid w:val="00A61137"/>
    <w:rsid w:val="00A621FE"/>
    <w:rsid w:val="00A63BA1"/>
    <w:rsid w:val="00A63BD1"/>
    <w:rsid w:val="00A6468E"/>
    <w:rsid w:val="00A677A8"/>
    <w:rsid w:val="00A70D9B"/>
    <w:rsid w:val="00A74AA4"/>
    <w:rsid w:val="00A75146"/>
    <w:rsid w:val="00A756F3"/>
    <w:rsid w:val="00A76278"/>
    <w:rsid w:val="00A763F3"/>
    <w:rsid w:val="00A76ADD"/>
    <w:rsid w:val="00A77331"/>
    <w:rsid w:val="00A7763D"/>
    <w:rsid w:val="00A83958"/>
    <w:rsid w:val="00A83BEF"/>
    <w:rsid w:val="00A84A8B"/>
    <w:rsid w:val="00A854BA"/>
    <w:rsid w:val="00A864EF"/>
    <w:rsid w:val="00A87192"/>
    <w:rsid w:val="00A903B5"/>
    <w:rsid w:val="00A91BF7"/>
    <w:rsid w:val="00A9323A"/>
    <w:rsid w:val="00A95E74"/>
    <w:rsid w:val="00AA0229"/>
    <w:rsid w:val="00AA162D"/>
    <w:rsid w:val="00AA1E01"/>
    <w:rsid w:val="00AA4084"/>
    <w:rsid w:val="00AA5B82"/>
    <w:rsid w:val="00AA5F6F"/>
    <w:rsid w:val="00AA7752"/>
    <w:rsid w:val="00AA7AF6"/>
    <w:rsid w:val="00AB0B83"/>
    <w:rsid w:val="00AB1307"/>
    <w:rsid w:val="00AB1559"/>
    <w:rsid w:val="00AB2AE5"/>
    <w:rsid w:val="00AB2CDC"/>
    <w:rsid w:val="00AC0D12"/>
    <w:rsid w:val="00AC136C"/>
    <w:rsid w:val="00AD0E30"/>
    <w:rsid w:val="00AD430F"/>
    <w:rsid w:val="00AD5536"/>
    <w:rsid w:val="00AD6185"/>
    <w:rsid w:val="00AE0D8D"/>
    <w:rsid w:val="00AE26D7"/>
    <w:rsid w:val="00AE5819"/>
    <w:rsid w:val="00AE6025"/>
    <w:rsid w:val="00AE641E"/>
    <w:rsid w:val="00AF1A54"/>
    <w:rsid w:val="00AF2493"/>
    <w:rsid w:val="00AF5BE1"/>
    <w:rsid w:val="00AF713A"/>
    <w:rsid w:val="00AF7B90"/>
    <w:rsid w:val="00B0589B"/>
    <w:rsid w:val="00B11E07"/>
    <w:rsid w:val="00B123AF"/>
    <w:rsid w:val="00B125BF"/>
    <w:rsid w:val="00B13516"/>
    <w:rsid w:val="00B13711"/>
    <w:rsid w:val="00B20CA8"/>
    <w:rsid w:val="00B21DE9"/>
    <w:rsid w:val="00B22B52"/>
    <w:rsid w:val="00B24BFB"/>
    <w:rsid w:val="00B24DD6"/>
    <w:rsid w:val="00B26051"/>
    <w:rsid w:val="00B32B29"/>
    <w:rsid w:val="00B32BC2"/>
    <w:rsid w:val="00B32F65"/>
    <w:rsid w:val="00B35589"/>
    <w:rsid w:val="00B37C40"/>
    <w:rsid w:val="00B40A5C"/>
    <w:rsid w:val="00B42B6B"/>
    <w:rsid w:val="00B4592D"/>
    <w:rsid w:val="00B45A98"/>
    <w:rsid w:val="00B464DC"/>
    <w:rsid w:val="00B46AA2"/>
    <w:rsid w:val="00B5205C"/>
    <w:rsid w:val="00B56BE7"/>
    <w:rsid w:val="00B572B6"/>
    <w:rsid w:val="00B657FC"/>
    <w:rsid w:val="00B67C97"/>
    <w:rsid w:val="00B724C9"/>
    <w:rsid w:val="00B72BD9"/>
    <w:rsid w:val="00B7562A"/>
    <w:rsid w:val="00B7670D"/>
    <w:rsid w:val="00B767E3"/>
    <w:rsid w:val="00B839BD"/>
    <w:rsid w:val="00B927FB"/>
    <w:rsid w:val="00B93B80"/>
    <w:rsid w:val="00B9440E"/>
    <w:rsid w:val="00B94FCA"/>
    <w:rsid w:val="00BA094B"/>
    <w:rsid w:val="00BA4447"/>
    <w:rsid w:val="00BA49B8"/>
    <w:rsid w:val="00BA49E9"/>
    <w:rsid w:val="00BB4DE6"/>
    <w:rsid w:val="00BB4E1B"/>
    <w:rsid w:val="00BB6196"/>
    <w:rsid w:val="00BB7644"/>
    <w:rsid w:val="00BC0D35"/>
    <w:rsid w:val="00BC118F"/>
    <w:rsid w:val="00BC1E2A"/>
    <w:rsid w:val="00BC71F4"/>
    <w:rsid w:val="00BD3CC1"/>
    <w:rsid w:val="00BD5AAE"/>
    <w:rsid w:val="00BD6AA0"/>
    <w:rsid w:val="00BD72D1"/>
    <w:rsid w:val="00BE064D"/>
    <w:rsid w:val="00BE5B2A"/>
    <w:rsid w:val="00BE5F93"/>
    <w:rsid w:val="00BF0C57"/>
    <w:rsid w:val="00BF35C9"/>
    <w:rsid w:val="00BF3966"/>
    <w:rsid w:val="00C0049A"/>
    <w:rsid w:val="00C02E69"/>
    <w:rsid w:val="00C039F0"/>
    <w:rsid w:val="00C07997"/>
    <w:rsid w:val="00C07F11"/>
    <w:rsid w:val="00C13823"/>
    <w:rsid w:val="00C13A98"/>
    <w:rsid w:val="00C16DB8"/>
    <w:rsid w:val="00C17AE2"/>
    <w:rsid w:val="00C21B74"/>
    <w:rsid w:val="00C24C69"/>
    <w:rsid w:val="00C2664B"/>
    <w:rsid w:val="00C27FD4"/>
    <w:rsid w:val="00C351E5"/>
    <w:rsid w:val="00C3700C"/>
    <w:rsid w:val="00C40C63"/>
    <w:rsid w:val="00C44C8E"/>
    <w:rsid w:val="00C44CD7"/>
    <w:rsid w:val="00C45D7F"/>
    <w:rsid w:val="00C51A31"/>
    <w:rsid w:val="00C536CB"/>
    <w:rsid w:val="00C5757D"/>
    <w:rsid w:val="00C620DE"/>
    <w:rsid w:val="00C6550D"/>
    <w:rsid w:val="00C65EAF"/>
    <w:rsid w:val="00C70BF5"/>
    <w:rsid w:val="00C71254"/>
    <w:rsid w:val="00C7218C"/>
    <w:rsid w:val="00C736DE"/>
    <w:rsid w:val="00C73C0C"/>
    <w:rsid w:val="00C751BE"/>
    <w:rsid w:val="00C75EED"/>
    <w:rsid w:val="00C76752"/>
    <w:rsid w:val="00C843A5"/>
    <w:rsid w:val="00C86D05"/>
    <w:rsid w:val="00C90624"/>
    <w:rsid w:val="00C9127E"/>
    <w:rsid w:val="00C918B6"/>
    <w:rsid w:val="00C9322D"/>
    <w:rsid w:val="00C9416D"/>
    <w:rsid w:val="00C97524"/>
    <w:rsid w:val="00C97A79"/>
    <w:rsid w:val="00CA0F4B"/>
    <w:rsid w:val="00CB336B"/>
    <w:rsid w:val="00CB4F09"/>
    <w:rsid w:val="00CB54AD"/>
    <w:rsid w:val="00CB5D6E"/>
    <w:rsid w:val="00CC0AFD"/>
    <w:rsid w:val="00CC1A60"/>
    <w:rsid w:val="00CC1B29"/>
    <w:rsid w:val="00CC322C"/>
    <w:rsid w:val="00CC3D6E"/>
    <w:rsid w:val="00CC46B1"/>
    <w:rsid w:val="00CC6DF4"/>
    <w:rsid w:val="00CD3480"/>
    <w:rsid w:val="00CE0F3D"/>
    <w:rsid w:val="00CE11DA"/>
    <w:rsid w:val="00CE1FEF"/>
    <w:rsid w:val="00CE25E6"/>
    <w:rsid w:val="00CE2819"/>
    <w:rsid w:val="00CE58C4"/>
    <w:rsid w:val="00CF1C45"/>
    <w:rsid w:val="00CF37B9"/>
    <w:rsid w:val="00CF4B69"/>
    <w:rsid w:val="00CF6F17"/>
    <w:rsid w:val="00CF769E"/>
    <w:rsid w:val="00D01B03"/>
    <w:rsid w:val="00D025DD"/>
    <w:rsid w:val="00D032BD"/>
    <w:rsid w:val="00D03360"/>
    <w:rsid w:val="00D106DE"/>
    <w:rsid w:val="00D133DD"/>
    <w:rsid w:val="00D14C36"/>
    <w:rsid w:val="00D15DE1"/>
    <w:rsid w:val="00D205BD"/>
    <w:rsid w:val="00D224C9"/>
    <w:rsid w:val="00D236C8"/>
    <w:rsid w:val="00D2493D"/>
    <w:rsid w:val="00D26507"/>
    <w:rsid w:val="00D27CD7"/>
    <w:rsid w:val="00D27F05"/>
    <w:rsid w:val="00D303A9"/>
    <w:rsid w:val="00D309C8"/>
    <w:rsid w:val="00D312AE"/>
    <w:rsid w:val="00D337DD"/>
    <w:rsid w:val="00D33B7E"/>
    <w:rsid w:val="00D3681A"/>
    <w:rsid w:val="00D40527"/>
    <w:rsid w:val="00D41221"/>
    <w:rsid w:val="00D45810"/>
    <w:rsid w:val="00D46AA3"/>
    <w:rsid w:val="00D474A8"/>
    <w:rsid w:val="00D50F69"/>
    <w:rsid w:val="00D51F0A"/>
    <w:rsid w:val="00D52AFE"/>
    <w:rsid w:val="00D52DA1"/>
    <w:rsid w:val="00D556F8"/>
    <w:rsid w:val="00D571C3"/>
    <w:rsid w:val="00D61856"/>
    <w:rsid w:val="00D6411E"/>
    <w:rsid w:val="00D64CDD"/>
    <w:rsid w:val="00D64D18"/>
    <w:rsid w:val="00D64F2B"/>
    <w:rsid w:val="00D656D7"/>
    <w:rsid w:val="00D65C2E"/>
    <w:rsid w:val="00D65EAE"/>
    <w:rsid w:val="00D663CA"/>
    <w:rsid w:val="00D67B50"/>
    <w:rsid w:val="00D70795"/>
    <w:rsid w:val="00D7409E"/>
    <w:rsid w:val="00D74982"/>
    <w:rsid w:val="00D750C9"/>
    <w:rsid w:val="00D7533E"/>
    <w:rsid w:val="00D7619C"/>
    <w:rsid w:val="00D825DF"/>
    <w:rsid w:val="00D8350B"/>
    <w:rsid w:val="00D85482"/>
    <w:rsid w:val="00D9007F"/>
    <w:rsid w:val="00D903B8"/>
    <w:rsid w:val="00D91DCD"/>
    <w:rsid w:val="00D9393F"/>
    <w:rsid w:val="00D97F97"/>
    <w:rsid w:val="00DA004E"/>
    <w:rsid w:val="00DA1C5F"/>
    <w:rsid w:val="00DA1F60"/>
    <w:rsid w:val="00DA2C09"/>
    <w:rsid w:val="00DA3F53"/>
    <w:rsid w:val="00DA4229"/>
    <w:rsid w:val="00DA43EA"/>
    <w:rsid w:val="00DA46D5"/>
    <w:rsid w:val="00DA7355"/>
    <w:rsid w:val="00DA7F80"/>
    <w:rsid w:val="00DB0194"/>
    <w:rsid w:val="00DB0483"/>
    <w:rsid w:val="00DB3CEA"/>
    <w:rsid w:val="00DB52CB"/>
    <w:rsid w:val="00DB661B"/>
    <w:rsid w:val="00DC08A1"/>
    <w:rsid w:val="00DC09C0"/>
    <w:rsid w:val="00DC1F16"/>
    <w:rsid w:val="00DC4E28"/>
    <w:rsid w:val="00DC7060"/>
    <w:rsid w:val="00DD1A86"/>
    <w:rsid w:val="00DD5DFB"/>
    <w:rsid w:val="00DD74D9"/>
    <w:rsid w:val="00DE087D"/>
    <w:rsid w:val="00DE12EB"/>
    <w:rsid w:val="00DE3E78"/>
    <w:rsid w:val="00DE48FE"/>
    <w:rsid w:val="00DE7337"/>
    <w:rsid w:val="00DF0BAF"/>
    <w:rsid w:val="00DF20DD"/>
    <w:rsid w:val="00DF352B"/>
    <w:rsid w:val="00DF49ED"/>
    <w:rsid w:val="00DF625E"/>
    <w:rsid w:val="00DF777F"/>
    <w:rsid w:val="00E00116"/>
    <w:rsid w:val="00E02F37"/>
    <w:rsid w:val="00E050FC"/>
    <w:rsid w:val="00E053A1"/>
    <w:rsid w:val="00E114D8"/>
    <w:rsid w:val="00E20C28"/>
    <w:rsid w:val="00E258DF"/>
    <w:rsid w:val="00E2663B"/>
    <w:rsid w:val="00E27A02"/>
    <w:rsid w:val="00E33986"/>
    <w:rsid w:val="00E34BB9"/>
    <w:rsid w:val="00E41E4E"/>
    <w:rsid w:val="00E4399E"/>
    <w:rsid w:val="00E452DC"/>
    <w:rsid w:val="00E50339"/>
    <w:rsid w:val="00E53222"/>
    <w:rsid w:val="00E5622A"/>
    <w:rsid w:val="00E56F43"/>
    <w:rsid w:val="00E57016"/>
    <w:rsid w:val="00E5765B"/>
    <w:rsid w:val="00E62087"/>
    <w:rsid w:val="00E62D23"/>
    <w:rsid w:val="00E6409E"/>
    <w:rsid w:val="00E6590F"/>
    <w:rsid w:val="00E7405B"/>
    <w:rsid w:val="00E7418D"/>
    <w:rsid w:val="00E76C80"/>
    <w:rsid w:val="00E827AC"/>
    <w:rsid w:val="00E82C6B"/>
    <w:rsid w:val="00E85D69"/>
    <w:rsid w:val="00E91D58"/>
    <w:rsid w:val="00E9464F"/>
    <w:rsid w:val="00E959E5"/>
    <w:rsid w:val="00E96777"/>
    <w:rsid w:val="00E97349"/>
    <w:rsid w:val="00EA156B"/>
    <w:rsid w:val="00EA1B45"/>
    <w:rsid w:val="00EA2B2C"/>
    <w:rsid w:val="00EA3B02"/>
    <w:rsid w:val="00EA41A8"/>
    <w:rsid w:val="00EA5B75"/>
    <w:rsid w:val="00EA6E53"/>
    <w:rsid w:val="00EB263E"/>
    <w:rsid w:val="00EB4256"/>
    <w:rsid w:val="00EB42F6"/>
    <w:rsid w:val="00EB4D22"/>
    <w:rsid w:val="00EB4D83"/>
    <w:rsid w:val="00EB7A34"/>
    <w:rsid w:val="00EC10C5"/>
    <w:rsid w:val="00EC1814"/>
    <w:rsid w:val="00EC1834"/>
    <w:rsid w:val="00EC379C"/>
    <w:rsid w:val="00ED029B"/>
    <w:rsid w:val="00ED1DD1"/>
    <w:rsid w:val="00ED1F5B"/>
    <w:rsid w:val="00ED42CD"/>
    <w:rsid w:val="00ED4973"/>
    <w:rsid w:val="00ED60DE"/>
    <w:rsid w:val="00ED70B6"/>
    <w:rsid w:val="00ED7446"/>
    <w:rsid w:val="00EE04F5"/>
    <w:rsid w:val="00EE14AD"/>
    <w:rsid w:val="00EE2731"/>
    <w:rsid w:val="00EE4A1E"/>
    <w:rsid w:val="00EE5CED"/>
    <w:rsid w:val="00EF16D3"/>
    <w:rsid w:val="00EF28B8"/>
    <w:rsid w:val="00EF3891"/>
    <w:rsid w:val="00EF427B"/>
    <w:rsid w:val="00EF4A03"/>
    <w:rsid w:val="00EF5635"/>
    <w:rsid w:val="00EF61C9"/>
    <w:rsid w:val="00EF7CAF"/>
    <w:rsid w:val="00F03741"/>
    <w:rsid w:val="00F03921"/>
    <w:rsid w:val="00F101D2"/>
    <w:rsid w:val="00F10388"/>
    <w:rsid w:val="00F111FC"/>
    <w:rsid w:val="00F112CF"/>
    <w:rsid w:val="00F11772"/>
    <w:rsid w:val="00F126F1"/>
    <w:rsid w:val="00F12953"/>
    <w:rsid w:val="00F12AF0"/>
    <w:rsid w:val="00F14A96"/>
    <w:rsid w:val="00F17BB4"/>
    <w:rsid w:val="00F2451A"/>
    <w:rsid w:val="00F2563C"/>
    <w:rsid w:val="00F26222"/>
    <w:rsid w:val="00F3204B"/>
    <w:rsid w:val="00F3427A"/>
    <w:rsid w:val="00F36DFD"/>
    <w:rsid w:val="00F43056"/>
    <w:rsid w:val="00F432B4"/>
    <w:rsid w:val="00F451AE"/>
    <w:rsid w:val="00F46266"/>
    <w:rsid w:val="00F46541"/>
    <w:rsid w:val="00F46D92"/>
    <w:rsid w:val="00F527CE"/>
    <w:rsid w:val="00F5294E"/>
    <w:rsid w:val="00F53200"/>
    <w:rsid w:val="00F56EAB"/>
    <w:rsid w:val="00F57160"/>
    <w:rsid w:val="00F57FE2"/>
    <w:rsid w:val="00F62A20"/>
    <w:rsid w:val="00F64FE2"/>
    <w:rsid w:val="00F658A3"/>
    <w:rsid w:val="00F66088"/>
    <w:rsid w:val="00F7121F"/>
    <w:rsid w:val="00F75BD8"/>
    <w:rsid w:val="00F81231"/>
    <w:rsid w:val="00F82694"/>
    <w:rsid w:val="00F84A6C"/>
    <w:rsid w:val="00F87360"/>
    <w:rsid w:val="00F87902"/>
    <w:rsid w:val="00F926D0"/>
    <w:rsid w:val="00F95263"/>
    <w:rsid w:val="00FA23A9"/>
    <w:rsid w:val="00FA287C"/>
    <w:rsid w:val="00FA2E01"/>
    <w:rsid w:val="00FA30AD"/>
    <w:rsid w:val="00FA37D5"/>
    <w:rsid w:val="00FA6277"/>
    <w:rsid w:val="00FB16E9"/>
    <w:rsid w:val="00FB34F9"/>
    <w:rsid w:val="00FB3689"/>
    <w:rsid w:val="00FB3CD9"/>
    <w:rsid w:val="00FB4111"/>
    <w:rsid w:val="00FB4919"/>
    <w:rsid w:val="00FB53A9"/>
    <w:rsid w:val="00FB7924"/>
    <w:rsid w:val="00FB7E75"/>
    <w:rsid w:val="00FC0B43"/>
    <w:rsid w:val="00FC4264"/>
    <w:rsid w:val="00FD0D79"/>
    <w:rsid w:val="00FD4329"/>
    <w:rsid w:val="00FD52E6"/>
    <w:rsid w:val="00FD5AC7"/>
    <w:rsid w:val="00FD692E"/>
    <w:rsid w:val="00FE4741"/>
    <w:rsid w:val="00FE4B4F"/>
    <w:rsid w:val="00FE563B"/>
    <w:rsid w:val="00FE7B91"/>
    <w:rsid w:val="00FF19A8"/>
    <w:rsid w:val="00FF4454"/>
    <w:rsid w:val="00FF5916"/>
    <w:rsid w:val="00FF6124"/>
    <w:rsid w:val="00FF711E"/>
    <w:rsid w:val="00FF7300"/>
    <w:rsid w:val="00FF773E"/>
    <w:rsid w:val="011A3EDC"/>
    <w:rsid w:val="0186715C"/>
    <w:rsid w:val="01AB4314"/>
    <w:rsid w:val="01C23407"/>
    <w:rsid w:val="01E241B3"/>
    <w:rsid w:val="020E5C47"/>
    <w:rsid w:val="02B1130A"/>
    <w:rsid w:val="02DC5A1D"/>
    <w:rsid w:val="030A6CC4"/>
    <w:rsid w:val="03154693"/>
    <w:rsid w:val="032D242B"/>
    <w:rsid w:val="038B4BC1"/>
    <w:rsid w:val="03C9670E"/>
    <w:rsid w:val="0425002C"/>
    <w:rsid w:val="044E49AC"/>
    <w:rsid w:val="047F5F95"/>
    <w:rsid w:val="04DA2296"/>
    <w:rsid w:val="04F25C61"/>
    <w:rsid w:val="051A0FB1"/>
    <w:rsid w:val="052B1173"/>
    <w:rsid w:val="053008EE"/>
    <w:rsid w:val="055A2FF4"/>
    <w:rsid w:val="0568132D"/>
    <w:rsid w:val="05705A84"/>
    <w:rsid w:val="064121D6"/>
    <w:rsid w:val="065A6558"/>
    <w:rsid w:val="06B14778"/>
    <w:rsid w:val="073D4D30"/>
    <w:rsid w:val="075C5614"/>
    <w:rsid w:val="077129C7"/>
    <w:rsid w:val="07BE1AD8"/>
    <w:rsid w:val="07DC6755"/>
    <w:rsid w:val="07EB261B"/>
    <w:rsid w:val="07F25419"/>
    <w:rsid w:val="085B79F4"/>
    <w:rsid w:val="08F33D56"/>
    <w:rsid w:val="095501C4"/>
    <w:rsid w:val="098962E0"/>
    <w:rsid w:val="09B92506"/>
    <w:rsid w:val="09DC4923"/>
    <w:rsid w:val="0A4E3D95"/>
    <w:rsid w:val="0A574413"/>
    <w:rsid w:val="0A9137E3"/>
    <w:rsid w:val="0A9F3E92"/>
    <w:rsid w:val="0ABD672D"/>
    <w:rsid w:val="0ACF37D3"/>
    <w:rsid w:val="0AE27FCC"/>
    <w:rsid w:val="0AEC5CE4"/>
    <w:rsid w:val="0AF501D6"/>
    <w:rsid w:val="0B616F19"/>
    <w:rsid w:val="0B8578C6"/>
    <w:rsid w:val="0BB942FA"/>
    <w:rsid w:val="0C2439A5"/>
    <w:rsid w:val="0C6C62F9"/>
    <w:rsid w:val="0CA85EB7"/>
    <w:rsid w:val="0D1D3A97"/>
    <w:rsid w:val="0D2574C1"/>
    <w:rsid w:val="0D7F205C"/>
    <w:rsid w:val="0E122ED0"/>
    <w:rsid w:val="0E311D03"/>
    <w:rsid w:val="0E312337"/>
    <w:rsid w:val="0EBB5610"/>
    <w:rsid w:val="0EE87107"/>
    <w:rsid w:val="0F684B57"/>
    <w:rsid w:val="0F7B6106"/>
    <w:rsid w:val="0F824F30"/>
    <w:rsid w:val="0FEF5A66"/>
    <w:rsid w:val="0FF6570F"/>
    <w:rsid w:val="103541DD"/>
    <w:rsid w:val="11B612E4"/>
    <w:rsid w:val="11CB2CB1"/>
    <w:rsid w:val="11DD37F5"/>
    <w:rsid w:val="12521AED"/>
    <w:rsid w:val="127F682A"/>
    <w:rsid w:val="128A30B8"/>
    <w:rsid w:val="12B55628"/>
    <w:rsid w:val="12E0583C"/>
    <w:rsid w:val="13155D9C"/>
    <w:rsid w:val="143023B1"/>
    <w:rsid w:val="14736230"/>
    <w:rsid w:val="14821ECE"/>
    <w:rsid w:val="14AB3737"/>
    <w:rsid w:val="14D82A74"/>
    <w:rsid w:val="1568787A"/>
    <w:rsid w:val="15EA5C06"/>
    <w:rsid w:val="162A4334"/>
    <w:rsid w:val="169528F0"/>
    <w:rsid w:val="172C36A3"/>
    <w:rsid w:val="17AB6523"/>
    <w:rsid w:val="180162AE"/>
    <w:rsid w:val="18C4126B"/>
    <w:rsid w:val="18C71F38"/>
    <w:rsid w:val="191410B9"/>
    <w:rsid w:val="1977452F"/>
    <w:rsid w:val="198E7F4E"/>
    <w:rsid w:val="199002DD"/>
    <w:rsid w:val="19A1302D"/>
    <w:rsid w:val="19A96CBB"/>
    <w:rsid w:val="19C917AB"/>
    <w:rsid w:val="19E839FD"/>
    <w:rsid w:val="1A0C0546"/>
    <w:rsid w:val="1A9F0749"/>
    <w:rsid w:val="1ADF413A"/>
    <w:rsid w:val="1B151762"/>
    <w:rsid w:val="1B3D22D8"/>
    <w:rsid w:val="1B4A4223"/>
    <w:rsid w:val="1BE1475C"/>
    <w:rsid w:val="1C600793"/>
    <w:rsid w:val="1C8C26CA"/>
    <w:rsid w:val="1CB42226"/>
    <w:rsid w:val="1CE65C54"/>
    <w:rsid w:val="1CF56657"/>
    <w:rsid w:val="1CFC5477"/>
    <w:rsid w:val="1CFD33E2"/>
    <w:rsid w:val="1D20038C"/>
    <w:rsid w:val="1D4F2F86"/>
    <w:rsid w:val="1D5232E9"/>
    <w:rsid w:val="1D605068"/>
    <w:rsid w:val="1D790876"/>
    <w:rsid w:val="1DC24676"/>
    <w:rsid w:val="1DEA52D0"/>
    <w:rsid w:val="1DF85A83"/>
    <w:rsid w:val="1DFB572F"/>
    <w:rsid w:val="1EBF074A"/>
    <w:rsid w:val="1EE567B6"/>
    <w:rsid w:val="1F1733DD"/>
    <w:rsid w:val="1F514FE3"/>
    <w:rsid w:val="1F5150F4"/>
    <w:rsid w:val="1FA0658E"/>
    <w:rsid w:val="1FC45CA8"/>
    <w:rsid w:val="1FD442EC"/>
    <w:rsid w:val="1FD7514C"/>
    <w:rsid w:val="20121869"/>
    <w:rsid w:val="216C3352"/>
    <w:rsid w:val="21736E0F"/>
    <w:rsid w:val="219948E1"/>
    <w:rsid w:val="21CB0C05"/>
    <w:rsid w:val="225002BD"/>
    <w:rsid w:val="228A7081"/>
    <w:rsid w:val="22A77CE0"/>
    <w:rsid w:val="22C83807"/>
    <w:rsid w:val="23407F7E"/>
    <w:rsid w:val="2347657E"/>
    <w:rsid w:val="23530659"/>
    <w:rsid w:val="23C91E2B"/>
    <w:rsid w:val="23F21CA6"/>
    <w:rsid w:val="23F86063"/>
    <w:rsid w:val="2483647E"/>
    <w:rsid w:val="248F6BD1"/>
    <w:rsid w:val="24A9670B"/>
    <w:rsid w:val="24BD6079"/>
    <w:rsid w:val="24F52D99"/>
    <w:rsid w:val="25425071"/>
    <w:rsid w:val="25A01955"/>
    <w:rsid w:val="25D3309D"/>
    <w:rsid w:val="26C012C4"/>
    <w:rsid w:val="26E74AA2"/>
    <w:rsid w:val="27735C31"/>
    <w:rsid w:val="27940D8B"/>
    <w:rsid w:val="281A6B80"/>
    <w:rsid w:val="28987C65"/>
    <w:rsid w:val="289D091F"/>
    <w:rsid w:val="28BF7229"/>
    <w:rsid w:val="29154D2E"/>
    <w:rsid w:val="291C1880"/>
    <w:rsid w:val="2941154D"/>
    <w:rsid w:val="296453C0"/>
    <w:rsid w:val="2987431B"/>
    <w:rsid w:val="29937E0F"/>
    <w:rsid w:val="29EC3575"/>
    <w:rsid w:val="29F6324E"/>
    <w:rsid w:val="2A652B1C"/>
    <w:rsid w:val="2AA754FA"/>
    <w:rsid w:val="2AE42B6E"/>
    <w:rsid w:val="2B1B0D87"/>
    <w:rsid w:val="2B38249F"/>
    <w:rsid w:val="2B690A19"/>
    <w:rsid w:val="2B8B3F4A"/>
    <w:rsid w:val="2B9A46A9"/>
    <w:rsid w:val="2C211030"/>
    <w:rsid w:val="2C225D73"/>
    <w:rsid w:val="2C35039D"/>
    <w:rsid w:val="2CB466AB"/>
    <w:rsid w:val="2CE62F63"/>
    <w:rsid w:val="2CF66FA1"/>
    <w:rsid w:val="2D7746A6"/>
    <w:rsid w:val="2DF562FB"/>
    <w:rsid w:val="2DF76B49"/>
    <w:rsid w:val="2E4A21EA"/>
    <w:rsid w:val="2E532798"/>
    <w:rsid w:val="2EBE6548"/>
    <w:rsid w:val="2F234196"/>
    <w:rsid w:val="2F4F0C2D"/>
    <w:rsid w:val="2FDF515F"/>
    <w:rsid w:val="2FE70F6C"/>
    <w:rsid w:val="301C0FBB"/>
    <w:rsid w:val="30CD508C"/>
    <w:rsid w:val="31140FD9"/>
    <w:rsid w:val="31357CA5"/>
    <w:rsid w:val="31436331"/>
    <w:rsid w:val="314B5E7A"/>
    <w:rsid w:val="31550528"/>
    <w:rsid w:val="31BD1F12"/>
    <w:rsid w:val="31EA563F"/>
    <w:rsid w:val="3317670B"/>
    <w:rsid w:val="33745910"/>
    <w:rsid w:val="33982301"/>
    <w:rsid w:val="33A52003"/>
    <w:rsid w:val="33B77C06"/>
    <w:rsid w:val="34774306"/>
    <w:rsid w:val="35014699"/>
    <w:rsid w:val="35A517D0"/>
    <w:rsid w:val="35B93933"/>
    <w:rsid w:val="35DA580E"/>
    <w:rsid w:val="36534A3A"/>
    <w:rsid w:val="36626710"/>
    <w:rsid w:val="36743E79"/>
    <w:rsid w:val="3676027A"/>
    <w:rsid w:val="36CF347B"/>
    <w:rsid w:val="373B6744"/>
    <w:rsid w:val="37F4701F"/>
    <w:rsid w:val="380A2913"/>
    <w:rsid w:val="387E0FDF"/>
    <w:rsid w:val="38861D3F"/>
    <w:rsid w:val="38A81BB8"/>
    <w:rsid w:val="39292CF8"/>
    <w:rsid w:val="396517E5"/>
    <w:rsid w:val="39700D8D"/>
    <w:rsid w:val="39797D93"/>
    <w:rsid w:val="398019EB"/>
    <w:rsid w:val="39B776FA"/>
    <w:rsid w:val="39D17933"/>
    <w:rsid w:val="39FC2C3A"/>
    <w:rsid w:val="3A226DAE"/>
    <w:rsid w:val="3A24568B"/>
    <w:rsid w:val="3A264423"/>
    <w:rsid w:val="3A3C0B99"/>
    <w:rsid w:val="3A430DBF"/>
    <w:rsid w:val="3A4D48EA"/>
    <w:rsid w:val="3AED7D56"/>
    <w:rsid w:val="3AF7274B"/>
    <w:rsid w:val="3AFE138C"/>
    <w:rsid w:val="3B2B2294"/>
    <w:rsid w:val="3BED464F"/>
    <w:rsid w:val="3BFC1110"/>
    <w:rsid w:val="3C0C3393"/>
    <w:rsid w:val="3C23522D"/>
    <w:rsid w:val="3C2568AB"/>
    <w:rsid w:val="3C4F1480"/>
    <w:rsid w:val="3C742E8B"/>
    <w:rsid w:val="3CAF061D"/>
    <w:rsid w:val="3CAF07C5"/>
    <w:rsid w:val="3D832922"/>
    <w:rsid w:val="3DAE1A1E"/>
    <w:rsid w:val="3DB05DF2"/>
    <w:rsid w:val="3DD63AA0"/>
    <w:rsid w:val="3E07428C"/>
    <w:rsid w:val="3ED8360B"/>
    <w:rsid w:val="3F0B17C6"/>
    <w:rsid w:val="3F1D32FF"/>
    <w:rsid w:val="3F204B9E"/>
    <w:rsid w:val="3F6B5A0C"/>
    <w:rsid w:val="3F8F3A8D"/>
    <w:rsid w:val="400A0121"/>
    <w:rsid w:val="401828B1"/>
    <w:rsid w:val="401E4693"/>
    <w:rsid w:val="40464DC4"/>
    <w:rsid w:val="40821D4A"/>
    <w:rsid w:val="40942502"/>
    <w:rsid w:val="40B41A41"/>
    <w:rsid w:val="40B4300E"/>
    <w:rsid w:val="4203488C"/>
    <w:rsid w:val="42D33CD5"/>
    <w:rsid w:val="431230D1"/>
    <w:rsid w:val="432F53AF"/>
    <w:rsid w:val="4407106E"/>
    <w:rsid w:val="440C120E"/>
    <w:rsid w:val="442248A2"/>
    <w:rsid w:val="458037AB"/>
    <w:rsid w:val="45C64D7A"/>
    <w:rsid w:val="4654337F"/>
    <w:rsid w:val="468715C8"/>
    <w:rsid w:val="46A410A4"/>
    <w:rsid w:val="46B2421A"/>
    <w:rsid w:val="46CE1383"/>
    <w:rsid w:val="4702058D"/>
    <w:rsid w:val="479B48BD"/>
    <w:rsid w:val="47BB36B5"/>
    <w:rsid w:val="48624CD1"/>
    <w:rsid w:val="48955123"/>
    <w:rsid w:val="48C742DC"/>
    <w:rsid w:val="48C77E38"/>
    <w:rsid w:val="48C93A57"/>
    <w:rsid w:val="48EE1869"/>
    <w:rsid w:val="493859AB"/>
    <w:rsid w:val="498828D3"/>
    <w:rsid w:val="499C68D0"/>
    <w:rsid w:val="49B651F4"/>
    <w:rsid w:val="49CF3448"/>
    <w:rsid w:val="49FF679E"/>
    <w:rsid w:val="4A005DC7"/>
    <w:rsid w:val="4A76115D"/>
    <w:rsid w:val="4A9B332A"/>
    <w:rsid w:val="4ADF3425"/>
    <w:rsid w:val="4AE414ED"/>
    <w:rsid w:val="4B0E5C53"/>
    <w:rsid w:val="4B4E0F31"/>
    <w:rsid w:val="4B685902"/>
    <w:rsid w:val="4C4E4C8D"/>
    <w:rsid w:val="4C7C7CBC"/>
    <w:rsid w:val="4CDE4489"/>
    <w:rsid w:val="4CDF3A9A"/>
    <w:rsid w:val="4D014337"/>
    <w:rsid w:val="4D4730F3"/>
    <w:rsid w:val="4D8971C2"/>
    <w:rsid w:val="4DA4641D"/>
    <w:rsid w:val="4E0538DC"/>
    <w:rsid w:val="4E367870"/>
    <w:rsid w:val="4E712D20"/>
    <w:rsid w:val="4E813F67"/>
    <w:rsid w:val="4EC217CD"/>
    <w:rsid w:val="4EFB7302"/>
    <w:rsid w:val="4EFE4DAC"/>
    <w:rsid w:val="4F140B11"/>
    <w:rsid w:val="4F4A3AE3"/>
    <w:rsid w:val="4F5F61E0"/>
    <w:rsid w:val="4F650D17"/>
    <w:rsid w:val="4F886807"/>
    <w:rsid w:val="4FF81110"/>
    <w:rsid w:val="501F48FE"/>
    <w:rsid w:val="50320E07"/>
    <w:rsid w:val="50807546"/>
    <w:rsid w:val="50C91434"/>
    <w:rsid w:val="51337FC8"/>
    <w:rsid w:val="51CD669D"/>
    <w:rsid w:val="530366B4"/>
    <w:rsid w:val="5308011D"/>
    <w:rsid w:val="53D30CAA"/>
    <w:rsid w:val="53E144A4"/>
    <w:rsid w:val="53EE096F"/>
    <w:rsid w:val="549F5861"/>
    <w:rsid w:val="54E85FD2"/>
    <w:rsid w:val="55266506"/>
    <w:rsid w:val="55690D06"/>
    <w:rsid w:val="55A2168A"/>
    <w:rsid w:val="56255811"/>
    <w:rsid w:val="563F3703"/>
    <w:rsid w:val="564640A5"/>
    <w:rsid w:val="564B3752"/>
    <w:rsid w:val="565F21C4"/>
    <w:rsid w:val="56893679"/>
    <w:rsid w:val="56BA0FDC"/>
    <w:rsid w:val="56D920C4"/>
    <w:rsid w:val="56E34A69"/>
    <w:rsid w:val="577A02E3"/>
    <w:rsid w:val="57911D07"/>
    <w:rsid w:val="583F1AA7"/>
    <w:rsid w:val="58565404"/>
    <w:rsid w:val="58AA0745"/>
    <w:rsid w:val="590A624B"/>
    <w:rsid w:val="595E0345"/>
    <w:rsid w:val="59633BAD"/>
    <w:rsid w:val="598D0C2A"/>
    <w:rsid w:val="59927123"/>
    <w:rsid w:val="59A65386"/>
    <w:rsid w:val="59FC4AE9"/>
    <w:rsid w:val="5A385050"/>
    <w:rsid w:val="5A437FB8"/>
    <w:rsid w:val="5A482AAE"/>
    <w:rsid w:val="5A88681D"/>
    <w:rsid w:val="5B657D7D"/>
    <w:rsid w:val="5B8F0C89"/>
    <w:rsid w:val="5BB4013F"/>
    <w:rsid w:val="5BD42415"/>
    <w:rsid w:val="5C3615C6"/>
    <w:rsid w:val="5C3F0F1E"/>
    <w:rsid w:val="5C8D4A03"/>
    <w:rsid w:val="5C936557"/>
    <w:rsid w:val="5CA65017"/>
    <w:rsid w:val="5CAF7D6B"/>
    <w:rsid w:val="5CEB4C0A"/>
    <w:rsid w:val="5D5C2DED"/>
    <w:rsid w:val="5D6D2A3E"/>
    <w:rsid w:val="5DB91FED"/>
    <w:rsid w:val="5ED21CA1"/>
    <w:rsid w:val="5EDF1AAF"/>
    <w:rsid w:val="5EFC6636"/>
    <w:rsid w:val="5F137C68"/>
    <w:rsid w:val="5F366382"/>
    <w:rsid w:val="5F3C72AF"/>
    <w:rsid w:val="5F7B4C20"/>
    <w:rsid w:val="5F837C4B"/>
    <w:rsid w:val="5FA33152"/>
    <w:rsid w:val="602C2F4B"/>
    <w:rsid w:val="60581A7D"/>
    <w:rsid w:val="60CF1C52"/>
    <w:rsid w:val="60E555DB"/>
    <w:rsid w:val="61023CAB"/>
    <w:rsid w:val="61822192"/>
    <w:rsid w:val="61A42FB4"/>
    <w:rsid w:val="61AE0144"/>
    <w:rsid w:val="61C064A2"/>
    <w:rsid w:val="624B51DE"/>
    <w:rsid w:val="626C5880"/>
    <w:rsid w:val="62760632"/>
    <w:rsid w:val="62CB74E3"/>
    <w:rsid w:val="62F67840"/>
    <w:rsid w:val="631E2883"/>
    <w:rsid w:val="632C36E9"/>
    <w:rsid w:val="637E06EA"/>
    <w:rsid w:val="63C926FE"/>
    <w:rsid w:val="6413402C"/>
    <w:rsid w:val="6441125A"/>
    <w:rsid w:val="64B65E05"/>
    <w:rsid w:val="64E67EF4"/>
    <w:rsid w:val="64FC10DD"/>
    <w:rsid w:val="65015C22"/>
    <w:rsid w:val="652246D6"/>
    <w:rsid w:val="652F75D1"/>
    <w:rsid w:val="65847385"/>
    <w:rsid w:val="65A03021"/>
    <w:rsid w:val="65DB22A8"/>
    <w:rsid w:val="66171FA7"/>
    <w:rsid w:val="66560D21"/>
    <w:rsid w:val="66A157B2"/>
    <w:rsid w:val="66F82568"/>
    <w:rsid w:val="67077AE4"/>
    <w:rsid w:val="67F72090"/>
    <w:rsid w:val="685C33A2"/>
    <w:rsid w:val="68614A94"/>
    <w:rsid w:val="68934797"/>
    <w:rsid w:val="689F7A80"/>
    <w:rsid w:val="68CB3DA3"/>
    <w:rsid w:val="696239FB"/>
    <w:rsid w:val="69721FE4"/>
    <w:rsid w:val="6A0E3791"/>
    <w:rsid w:val="6A287A0C"/>
    <w:rsid w:val="6A890F99"/>
    <w:rsid w:val="6A8A28EE"/>
    <w:rsid w:val="6AE6597F"/>
    <w:rsid w:val="6B3E4E79"/>
    <w:rsid w:val="6B91205F"/>
    <w:rsid w:val="6BB02071"/>
    <w:rsid w:val="6D437B25"/>
    <w:rsid w:val="6D7F36B1"/>
    <w:rsid w:val="6D8F1CB9"/>
    <w:rsid w:val="6DF86D52"/>
    <w:rsid w:val="6DFA6436"/>
    <w:rsid w:val="6ED51A64"/>
    <w:rsid w:val="6F26517F"/>
    <w:rsid w:val="6F625066"/>
    <w:rsid w:val="6F8F2BAE"/>
    <w:rsid w:val="6FB62831"/>
    <w:rsid w:val="6FC67C7C"/>
    <w:rsid w:val="6FED5C73"/>
    <w:rsid w:val="701E58C9"/>
    <w:rsid w:val="70444848"/>
    <w:rsid w:val="70EC4526"/>
    <w:rsid w:val="70FF6875"/>
    <w:rsid w:val="71013BDA"/>
    <w:rsid w:val="712F0FD1"/>
    <w:rsid w:val="714E5465"/>
    <w:rsid w:val="71911130"/>
    <w:rsid w:val="71D10883"/>
    <w:rsid w:val="72166CAD"/>
    <w:rsid w:val="72563E57"/>
    <w:rsid w:val="731C2C31"/>
    <w:rsid w:val="731C737F"/>
    <w:rsid w:val="731D6723"/>
    <w:rsid w:val="74017BD0"/>
    <w:rsid w:val="743B1556"/>
    <w:rsid w:val="74833002"/>
    <w:rsid w:val="752C40FF"/>
    <w:rsid w:val="755E305D"/>
    <w:rsid w:val="75642599"/>
    <w:rsid w:val="75713E2B"/>
    <w:rsid w:val="75F25C45"/>
    <w:rsid w:val="760B6D06"/>
    <w:rsid w:val="763A5F09"/>
    <w:rsid w:val="76A41635"/>
    <w:rsid w:val="76C14E37"/>
    <w:rsid w:val="76DE0CEB"/>
    <w:rsid w:val="76F206A1"/>
    <w:rsid w:val="7750045B"/>
    <w:rsid w:val="77505319"/>
    <w:rsid w:val="78185BC7"/>
    <w:rsid w:val="781C51B7"/>
    <w:rsid w:val="78DD018B"/>
    <w:rsid w:val="78E715F6"/>
    <w:rsid w:val="78F047D7"/>
    <w:rsid w:val="78F33C9A"/>
    <w:rsid w:val="79395A45"/>
    <w:rsid w:val="79610247"/>
    <w:rsid w:val="798F1F3D"/>
    <w:rsid w:val="79EE5FFB"/>
    <w:rsid w:val="7A5B169C"/>
    <w:rsid w:val="7AC06B1E"/>
    <w:rsid w:val="7AD242A9"/>
    <w:rsid w:val="7B483BCB"/>
    <w:rsid w:val="7B615F3D"/>
    <w:rsid w:val="7B7F264B"/>
    <w:rsid w:val="7B8F7685"/>
    <w:rsid w:val="7BBE315C"/>
    <w:rsid w:val="7C45606D"/>
    <w:rsid w:val="7C46408D"/>
    <w:rsid w:val="7CA13F21"/>
    <w:rsid w:val="7CAE57D0"/>
    <w:rsid w:val="7D6D2641"/>
    <w:rsid w:val="7D923E1D"/>
    <w:rsid w:val="7DBF3F02"/>
    <w:rsid w:val="7DD6409E"/>
    <w:rsid w:val="7DED6349"/>
    <w:rsid w:val="7E7E7B51"/>
    <w:rsid w:val="7E907DDC"/>
    <w:rsid w:val="7EB741E1"/>
    <w:rsid w:val="7F095ED3"/>
    <w:rsid w:val="7F1B6874"/>
    <w:rsid w:val="7F331426"/>
    <w:rsid w:val="7F4D75EF"/>
    <w:rsid w:val="7F9164CE"/>
    <w:rsid w:val="7F98526B"/>
    <w:rsid w:val="7F9E61CF"/>
    <w:rsid w:val="7FBD0F3F"/>
    <w:rsid w:val="7FBE4DEA"/>
    <w:rsid w:val="7FDB4D4D"/>
    <w:rsid w:val="7FE66564"/>
    <w:rsid w:val="7FE74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semiHidden="0" w:name="heading 7"/>
    <w:lsdException w:qFormat="1" w:uiPriority="9"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7"/>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4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9"/>
    <w:pPr>
      <w:keepNext/>
      <w:keepLines/>
      <w:spacing w:before="260" w:after="260" w:line="413" w:lineRule="auto"/>
      <w:outlineLvl w:val="2"/>
    </w:pPr>
    <w:rPr>
      <w:b/>
      <w:bCs/>
      <w:sz w:val="32"/>
      <w:szCs w:val="32"/>
    </w:rPr>
  </w:style>
  <w:style w:type="paragraph" w:styleId="5">
    <w:name w:val="heading 4"/>
    <w:basedOn w:val="1"/>
    <w:next w:val="1"/>
    <w:link w:val="50"/>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51"/>
    <w:qFormat/>
    <w:uiPriority w:val="99"/>
    <w:pPr>
      <w:keepNext/>
      <w:outlineLvl w:val="4"/>
    </w:pPr>
    <w:rPr>
      <w:rFonts w:ascii="宋体" w:hAnsi="Arial" w:cs="宋体"/>
      <w:sz w:val="28"/>
      <w:szCs w:val="28"/>
    </w:rPr>
  </w:style>
  <w:style w:type="paragraph" w:styleId="7">
    <w:name w:val="heading 6"/>
    <w:basedOn w:val="1"/>
    <w:next w:val="1"/>
    <w:link w:val="19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197"/>
    <w:unhideWhenUsed/>
    <w:qFormat/>
    <w:uiPriority w:val="9"/>
    <w:pPr>
      <w:keepNext/>
      <w:keepLines/>
      <w:spacing w:before="240" w:after="64" w:line="320" w:lineRule="auto"/>
      <w:outlineLvl w:val="6"/>
    </w:pPr>
    <w:rPr>
      <w:b/>
      <w:bCs/>
      <w:sz w:val="24"/>
      <w:szCs w:val="24"/>
    </w:rPr>
  </w:style>
  <w:style w:type="paragraph" w:styleId="9">
    <w:name w:val="heading 9"/>
    <w:basedOn w:val="1"/>
    <w:next w:val="1"/>
    <w:link w:val="52"/>
    <w:qFormat/>
    <w:uiPriority w:val="99"/>
    <w:pPr>
      <w:keepNext/>
      <w:keepLines/>
      <w:spacing w:before="240" w:after="64" w:line="320" w:lineRule="auto"/>
      <w:outlineLvl w:val="8"/>
    </w:pPr>
    <w:rPr>
      <w:rFonts w:ascii="Arial" w:hAnsi="Arial" w:eastAsia="黑体" w:cs="Arial"/>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53"/>
    <w:qFormat/>
    <w:uiPriority w:val="99"/>
    <w:pPr>
      <w:adjustRightInd w:val="0"/>
      <w:ind w:firstLine="420"/>
      <w:jc w:val="left"/>
    </w:pPr>
    <w:rPr>
      <w:rFonts w:eastAsia="楷体_GB2312"/>
      <w:sz w:val="24"/>
      <w:szCs w:val="20"/>
    </w:rPr>
  </w:style>
  <w:style w:type="paragraph" w:styleId="11">
    <w:name w:val="Document Map"/>
    <w:basedOn w:val="1"/>
    <w:link w:val="54"/>
    <w:semiHidden/>
    <w:qFormat/>
    <w:uiPriority w:val="99"/>
    <w:pPr>
      <w:shd w:val="clear" w:color="auto" w:fill="000080"/>
    </w:pPr>
    <w:rPr>
      <w:szCs w:val="20"/>
    </w:rPr>
  </w:style>
  <w:style w:type="paragraph" w:styleId="12">
    <w:name w:val="annotation text"/>
    <w:basedOn w:val="1"/>
    <w:link w:val="55"/>
    <w:qFormat/>
    <w:uiPriority w:val="0"/>
    <w:pPr>
      <w:jc w:val="left"/>
    </w:pPr>
    <w:rPr>
      <w:szCs w:val="20"/>
    </w:rPr>
  </w:style>
  <w:style w:type="paragraph" w:styleId="13">
    <w:name w:val="Body Text 3"/>
    <w:basedOn w:val="1"/>
    <w:link w:val="56"/>
    <w:qFormat/>
    <w:uiPriority w:val="99"/>
    <w:rPr>
      <w:rFonts w:ascii="黑体" w:hAnsi="Arial" w:eastAsia="黑体"/>
      <w:b/>
      <w:sz w:val="28"/>
      <w:szCs w:val="20"/>
    </w:rPr>
  </w:style>
  <w:style w:type="paragraph" w:styleId="14">
    <w:name w:val="Body Text"/>
    <w:basedOn w:val="1"/>
    <w:next w:val="15"/>
    <w:link w:val="57"/>
    <w:qFormat/>
    <w:uiPriority w:val="99"/>
    <w:pPr>
      <w:jc w:val="center"/>
    </w:pPr>
    <w:rPr>
      <w:b/>
      <w:sz w:val="44"/>
      <w:szCs w:val="20"/>
    </w:rPr>
  </w:style>
  <w:style w:type="paragraph" w:customStyle="1" w:styleId="1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Body Text Indent"/>
    <w:basedOn w:val="1"/>
    <w:link w:val="58"/>
    <w:qFormat/>
    <w:uiPriority w:val="99"/>
    <w:pPr>
      <w:spacing w:line="500" w:lineRule="exact"/>
      <w:ind w:firstLine="538"/>
    </w:pPr>
    <w:rPr>
      <w:sz w:val="28"/>
      <w:szCs w:val="20"/>
    </w:rPr>
  </w:style>
  <w:style w:type="paragraph" w:styleId="17">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18">
    <w:name w:val="toc 3"/>
    <w:basedOn w:val="1"/>
    <w:next w:val="1"/>
    <w:semiHidden/>
    <w:unhideWhenUsed/>
    <w:qFormat/>
    <w:uiPriority w:val="39"/>
    <w:pPr>
      <w:ind w:left="840" w:leftChars="400"/>
    </w:pPr>
  </w:style>
  <w:style w:type="paragraph" w:styleId="19">
    <w:name w:val="Plain Text"/>
    <w:basedOn w:val="1"/>
    <w:link w:val="59"/>
    <w:qFormat/>
    <w:uiPriority w:val="99"/>
    <w:rPr>
      <w:rFonts w:ascii="宋体" w:hAnsi="Courier New"/>
      <w:szCs w:val="20"/>
    </w:rPr>
  </w:style>
  <w:style w:type="paragraph" w:styleId="20">
    <w:name w:val="Date"/>
    <w:basedOn w:val="1"/>
    <w:next w:val="1"/>
    <w:link w:val="60"/>
    <w:qFormat/>
    <w:uiPriority w:val="99"/>
    <w:rPr>
      <w:rFonts w:ascii="仿宋_GB2312" w:eastAsia="仿宋_GB2312"/>
      <w:sz w:val="30"/>
      <w:szCs w:val="20"/>
    </w:rPr>
  </w:style>
  <w:style w:type="paragraph" w:styleId="21">
    <w:name w:val="Body Text Indent 2"/>
    <w:basedOn w:val="1"/>
    <w:link w:val="61"/>
    <w:qFormat/>
    <w:uiPriority w:val="99"/>
    <w:pPr>
      <w:spacing w:line="360" w:lineRule="exact"/>
      <w:ind w:firstLine="600" w:firstLineChars="250"/>
      <w:jc w:val="left"/>
    </w:pPr>
    <w:rPr>
      <w:sz w:val="24"/>
      <w:szCs w:val="20"/>
    </w:rPr>
  </w:style>
  <w:style w:type="paragraph" w:styleId="22">
    <w:name w:val="Balloon Text"/>
    <w:basedOn w:val="1"/>
    <w:link w:val="62"/>
    <w:semiHidden/>
    <w:qFormat/>
    <w:uiPriority w:val="99"/>
    <w:rPr>
      <w:sz w:val="18"/>
      <w:szCs w:val="20"/>
    </w:rPr>
  </w:style>
  <w:style w:type="paragraph" w:styleId="23">
    <w:name w:val="footer"/>
    <w:basedOn w:val="1"/>
    <w:link w:val="63"/>
    <w:qFormat/>
    <w:uiPriority w:val="99"/>
    <w:pPr>
      <w:tabs>
        <w:tab w:val="center" w:pos="4153"/>
        <w:tab w:val="right" w:pos="8306"/>
      </w:tabs>
      <w:snapToGrid w:val="0"/>
      <w:jc w:val="left"/>
    </w:pPr>
    <w:rPr>
      <w:sz w:val="18"/>
      <w:szCs w:val="20"/>
    </w:rPr>
  </w:style>
  <w:style w:type="paragraph" w:styleId="24">
    <w:name w:val="header"/>
    <w:basedOn w:val="1"/>
    <w:link w:val="64"/>
    <w:qFormat/>
    <w:uiPriority w:val="99"/>
    <w:pPr>
      <w:pBdr>
        <w:bottom w:val="single" w:color="auto" w:sz="6" w:space="1"/>
      </w:pBdr>
      <w:tabs>
        <w:tab w:val="center" w:pos="4153"/>
        <w:tab w:val="right" w:pos="8306"/>
      </w:tabs>
      <w:snapToGrid w:val="0"/>
      <w:jc w:val="center"/>
    </w:pPr>
    <w:rPr>
      <w:sz w:val="18"/>
      <w:szCs w:val="20"/>
    </w:rPr>
  </w:style>
  <w:style w:type="paragraph" w:styleId="25">
    <w:name w:val="toc 1"/>
    <w:basedOn w:val="1"/>
    <w:next w:val="1"/>
    <w:qFormat/>
    <w:uiPriority w:val="39"/>
  </w:style>
  <w:style w:type="paragraph" w:styleId="26">
    <w:name w:val="List"/>
    <w:basedOn w:val="1"/>
    <w:qFormat/>
    <w:uiPriority w:val="99"/>
    <w:pPr>
      <w:ind w:left="420" w:hanging="420"/>
    </w:pPr>
    <w:rPr>
      <w:rFonts w:ascii="Arial" w:hAnsi="Arial" w:eastAsia="楷体_GB2312" w:cs="Arial"/>
      <w:sz w:val="28"/>
      <w:szCs w:val="28"/>
    </w:rPr>
  </w:style>
  <w:style w:type="paragraph" w:styleId="27">
    <w:name w:val="Body Text Indent 3"/>
    <w:basedOn w:val="1"/>
    <w:link w:val="65"/>
    <w:qFormat/>
    <w:uiPriority w:val="99"/>
    <w:pPr>
      <w:spacing w:line="360" w:lineRule="auto"/>
      <w:ind w:firstLine="413" w:firstLineChars="172"/>
    </w:pPr>
    <w:rPr>
      <w:rFonts w:ascii="黑体" w:eastAsia="黑体"/>
      <w:color w:val="000000"/>
      <w:sz w:val="24"/>
      <w:szCs w:val="20"/>
    </w:rPr>
  </w:style>
  <w:style w:type="paragraph" w:styleId="28">
    <w:name w:val="toc 2"/>
    <w:basedOn w:val="1"/>
    <w:next w:val="1"/>
    <w:qFormat/>
    <w:uiPriority w:val="39"/>
    <w:pPr>
      <w:ind w:left="420" w:leftChars="200"/>
    </w:pPr>
  </w:style>
  <w:style w:type="paragraph" w:styleId="29">
    <w:name w:val="Body Text 2"/>
    <w:basedOn w:val="1"/>
    <w:link w:val="66"/>
    <w:qFormat/>
    <w:uiPriority w:val="99"/>
    <w:pPr>
      <w:spacing w:line="440" w:lineRule="exact"/>
    </w:pPr>
    <w:rPr>
      <w:sz w:val="28"/>
      <w:szCs w:val="20"/>
    </w:rPr>
  </w:style>
  <w:style w:type="paragraph" w:styleId="3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semiHidden/>
    <w:qFormat/>
    <w:uiPriority w:val="99"/>
  </w:style>
  <w:style w:type="paragraph" w:styleId="33">
    <w:name w:val="annotation subject"/>
    <w:basedOn w:val="12"/>
    <w:next w:val="12"/>
    <w:link w:val="68"/>
    <w:semiHidden/>
    <w:qFormat/>
    <w:uiPriority w:val="99"/>
    <w:rPr>
      <w:b/>
    </w:rPr>
  </w:style>
  <w:style w:type="paragraph" w:styleId="34">
    <w:name w:val="Body Text First Indent"/>
    <w:basedOn w:val="14"/>
    <w:unhideWhenUsed/>
    <w:qFormat/>
    <w:uiPriority w:val="0"/>
    <w:pPr>
      <w:ind w:firstLine="420"/>
    </w:pPr>
    <w:rPr>
      <w:rFonts w:hint="default"/>
      <w:sz w:val="24"/>
      <w:szCs w:val="24"/>
    </w:rPr>
  </w:style>
  <w:style w:type="paragraph" w:styleId="35">
    <w:name w:val="Body Text First Indent 2"/>
    <w:basedOn w:val="16"/>
    <w:link w:val="69"/>
    <w:unhideWhenUsed/>
    <w:qFormat/>
    <w:uiPriority w:val="99"/>
    <w:pPr>
      <w:widowControl/>
      <w:spacing w:after="120" w:line="360" w:lineRule="auto"/>
      <w:ind w:left="420" w:leftChars="200" w:firstLine="420" w:firstLineChars="200"/>
    </w:pPr>
    <w:rPr>
      <w:sz w:val="21"/>
      <w:szCs w:val="24"/>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800080"/>
      <w:u w:val="single"/>
    </w:rPr>
  </w:style>
  <w:style w:type="character" w:styleId="42">
    <w:name w:val="Emphasis"/>
    <w:qFormat/>
    <w:uiPriority w:val="99"/>
    <w:rPr>
      <w:rFonts w:cs="Times New Roman"/>
      <w:color w:val="auto"/>
    </w:rPr>
  </w:style>
  <w:style w:type="character" w:styleId="43">
    <w:name w:val="Hyperlink"/>
    <w:qFormat/>
    <w:uiPriority w:val="99"/>
    <w:rPr>
      <w:rFonts w:cs="Times New Roman"/>
      <w:color w:val="0000FF"/>
      <w:u w:val="single"/>
    </w:rPr>
  </w:style>
  <w:style w:type="character" w:styleId="44">
    <w:name w:val="annotation reference"/>
    <w:basedOn w:val="38"/>
    <w:semiHidden/>
    <w:unhideWhenUsed/>
    <w:qFormat/>
    <w:uiPriority w:val="99"/>
    <w:rPr>
      <w:sz w:val="21"/>
      <w:szCs w:val="21"/>
    </w:rPr>
  </w:style>
  <w:style w:type="paragraph" w:customStyle="1" w:styleId="45">
    <w:name w:val="正文1"/>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46">
    <w:name w:val="引用1"/>
    <w:basedOn w:val="1"/>
    <w:next w:val="1"/>
    <w:qFormat/>
    <w:uiPriority w:val="0"/>
    <w:rPr>
      <w:rFonts w:ascii="Calibri" w:hAnsi="Calibri"/>
      <w:i/>
    </w:rPr>
  </w:style>
  <w:style w:type="character" w:customStyle="1" w:styleId="47">
    <w:name w:val="标题 1 字符"/>
    <w:basedOn w:val="38"/>
    <w:link w:val="2"/>
    <w:qFormat/>
    <w:uiPriority w:val="99"/>
    <w:rPr>
      <w:rFonts w:ascii="Times New Roman" w:hAnsi="Times New Roman" w:eastAsia="宋体" w:cs="Times New Roman"/>
      <w:b/>
      <w:bCs/>
      <w:kern w:val="44"/>
      <w:sz w:val="44"/>
      <w:szCs w:val="44"/>
    </w:rPr>
  </w:style>
  <w:style w:type="character" w:customStyle="1" w:styleId="48">
    <w:name w:val="标题 2 字符"/>
    <w:basedOn w:val="38"/>
    <w:link w:val="3"/>
    <w:qFormat/>
    <w:uiPriority w:val="99"/>
    <w:rPr>
      <w:rFonts w:ascii="Cambria" w:hAnsi="Cambria" w:eastAsia="宋体" w:cs="Times New Roman"/>
      <w:b/>
      <w:bCs/>
      <w:sz w:val="32"/>
      <w:szCs w:val="32"/>
    </w:rPr>
  </w:style>
  <w:style w:type="character" w:customStyle="1" w:styleId="49">
    <w:name w:val="标题 3 字符"/>
    <w:basedOn w:val="38"/>
    <w:link w:val="4"/>
    <w:qFormat/>
    <w:uiPriority w:val="99"/>
    <w:rPr>
      <w:rFonts w:ascii="Times New Roman" w:hAnsi="Times New Roman" w:eastAsia="宋体" w:cs="Times New Roman"/>
      <w:b/>
      <w:bCs/>
      <w:sz w:val="32"/>
      <w:szCs w:val="32"/>
    </w:rPr>
  </w:style>
  <w:style w:type="character" w:customStyle="1" w:styleId="50">
    <w:name w:val="标题 4 字符"/>
    <w:basedOn w:val="38"/>
    <w:link w:val="5"/>
    <w:qFormat/>
    <w:uiPriority w:val="99"/>
    <w:rPr>
      <w:rFonts w:ascii="Arial" w:hAnsi="Arial" w:eastAsia="黑体" w:cs="Arial"/>
      <w:b/>
      <w:bCs/>
      <w:sz w:val="28"/>
      <w:szCs w:val="28"/>
    </w:rPr>
  </w:style>
  <w:style w:type="character" w:customStyle="1" w:styleId="51">
    <w:name w:val="标题 5 字符"/>
    <w:basedOn w:val="38"/>
    <w:link w:val="6"/>
    <w:qFormat/>
    <w:uiPriority w:val="99"/>
    <w:rPr>
      <w:rFonts w:ascii="宋体" w:hAnsi="Arial" w:eastAsia="宋体" w:cs="宋体"/>
      <w:sz w:val="28"/>
      <w:szCs w:val="28"/>
    </w:rPr>
  </w:style>
  <w:style w:type="character" w:customStyle="1" w:styleId="52">
    <w:name w:val="标题 9 字符"/>
    <w:basedOn w:val="38"/>
    <w:link w:val="9"/>
    <w:qFormat/>
    <w:uiPriority w:val="99"/>
    <w:rPr>
      <w:rFonts w:ascii="Arial" w:hAnsi="Arial" w:eastAsia="黑体" w:cs="Arial"/>
      <w:szCs w:val="21"/>
    </w:rPr>
  </w:style>
  <w:style w:type="character" w:customStyle="1" w:styleId="53">
    <w:name w:val="正文缩进 字符"/>
    <w:link w:val="10"/>
    <w:qFormat/>
    <w:locked/>
    <w:uiPriority w:val="99"/>
    <w:rPr>
      <w:rFonts w:ascii="Times New Roman" w:hAnsi="Times New Roman" w:eastAsia="楷体_GB2312" w:cs="Times New Roman"/>
      <w:sz w:val="24"/>
      <w:szCs w:val="20"/>
    </w:rPr>
  </w:style>
  <w:style w:type="character" w:customStyle="1" w:styleId="54">
    <w:name w:val="文档结构图 字符"/>
    <w:basedOn w:val="38"/>
    <w:link w:val="11"/>
    <w:semiHidden/>
    <w:qFormat/>
    <w:uiPriority w:val="99"/>
    <w:rPr>
      <w:rFonts w:ascii="Times New Roman" w:hAnsi="Times New Roman" w:eastAsia="宋体" w:cs="Times New Roman"/>
      <w:szCs w:val="20"/>
      <w:shd w:val="clear" w:color="auto" w:fill="000080"/>
    </w:rPr>
  </w:style>
  <w:style w:type="character" w:customStyle="1" w:styleId="55">
    <w:name w:val="批注文字 字符"/>
    <w:basedOn w:val="38"/>
    <w:link w:val="12"/>
    <w:qFormat/>
    <w:uiPriority w:val="0"/>
    <w:rPr>
      <w:rFonts w:ascii="Times New Roman" w:hAnsi="Times New Roman" w:eastAsia="宋体" w:cs="Times New Roman"/>
      <w:szCs w:val="20"/>
    </w:rPr>
  </w:style>
  <w:style w:type="character" w:customStyle="1" w:styleId="56">
    <w:name w:val="正文文本 3 字符"/>
    <w:basedOn w:val="38"/>
    <w:link w:val="13"/>
    <w:qFormat/>
    <w:uiPriority w:val="99"/>
    <w:rPr>
      <w:rFonts w:ascii="黑体" w:hAnsi="Arial" w:eastAsia="黑体" w:cs="Times New Roman"/>
      <w:b/>
      <w:sz w:val="28"/>
      <w:szCs w:val="20"/>
    </w:rPr>
  </w:style>
  <w:style w:type="character" w:customStyle="1" w:styleId="57">
    <w:name w:val="正文文本 字符"/>
    <w:basedOn w:val="38"/>
    <w:link w:val="14"/>
    <w:qFormat/>
    <w:uiPriority w:val="99"/>
    <w:rPr>
      <w:rFonts w:ascii="Times New Roman" w:hAnsi="Times New Roman" w:eastAsia="宋体" w:cs="Times New Roman"/>
      <w:b/>
      <w:sz w:val="44"/>
      <w:szCs w:val="20"/>
    </w:rPr>
  </w:style>
  <w:style w:type="character" w:customStyle="1" w:styleId="58">
    <w:name w:val="正文文本缩进 字符"/>
    <w:basedOn w:val="38"/>
    <w:link w:val="16"/>
    <w:qFormat/>
    <w:uiPriority w:val="99"/>
    <w:rPr>
      <w:rFonts w:ascii="Times New Roman" w:hAnsi="Times New Roman" w:eastAsia="宋体" w:cs="Times New Roman"/>
      <w:sz w:val="28"/>
      <w:szCs w:val="20"/>
    </w:rPr>
  </w:style>
  <w:style w:type="character" w:customStyle="1" w:styleId="59">
    <w:name w:val="纯文本 字符"/>
    <w:basedOn w:val="38"/>
    <w:link w:val="19"/>
    <w:qFormat/>
    <w:uiPriority w:val="99"/>
    <w:rPr>
      <w:rFonts w:ascii="宋体" w:hAnsi="Courier New" w:eastAsia="宋体" w:cs="Times New Roman"/>
      <w:szCs w:val="20"/>
    </w:rPr>
  </w:style>
  <w:style w:type="character" w:customStyle="1" w:styleId="60">
    <w:name w:val="日期 字符"/>
    <w:basedOn w:val="38"/>
    <w:link w:val="20"/>
    <w:qFormat/>
    <w:uiPriority w:val="99"/>
    <w:rPr>
      <w:rFonts w:ascii="仿宋_GB2312" w:hAnsi="Times New Roman" w:eastAsia="仿宋_GB2312" w:cs="Times New Roman"/>
      <w:sz w:val="30"/>
      <w:szCs w:val="20"/>
    </w:rPr>
  </w:style>
  <w:style w:type="character" w:customStyle="1" w:styleId="61">
    <w:name w:val="正文文本缩进 2 字符"/>
    <w:basedOn w:val="38"/>
    <w:link w:val="21"/>
    <w:qFormat/>
    <w:uiPriority w:val="99"/>
    <w:rPr>
      <w:rFonts w:ascii="Times New Roman" w:hAnsi="Times New Roman" w:eastAsia="宋体" w:cs="Times New Roman"/>
      <w:sz w:val="24"/>
      <w:szCs w:val="20"/>
    </w:rPr>
  </w:style>
  <w:style w:type="character" w:customStyle="1" w:styleId="62">
    <w:name w:val="批注框文本 字符"/>
    <w:basedOn w:val="38"/>
    <w:link w:val="22"/>
    <w:semiHidden/>
    <w:qFormat/>
    <w:uiPriority w:val="99"/>
    <w:rPr>
      <w:rFonts w:ascii="Times New Roman" w:hAnsi="Times New Roman" w:eastAsia="宋体" w:cs="Times New Roman"/>
      <w:sz w:val="18"/>
      <w:szCs w:val="20"/>
    </w:rPr>
  </w:style>
  <w:style w:type="character" w:customStyle="1" w:styleId="63">
    <w:name w:val="页脚 字符"/>
    <w:basedOn w:val="38"/>
    <w:link w:val="23"/>
    <w:qFormat/>
    <w:uiPriority w:val="99"/>
    <w:rPr>
      <w:rFonts w:ascii="Times New Roman" w:hAnsi="Times New Roman" w:eastAsia="宋体" w:cs="Times New Roman"/>
      <w:sz w:val="18"/>
      <w:szCs w:val="20"/>
    </w:rPr>
  </w:style>
  <w:style w:type="character" w:customStyle="1" w:styleId="64">
    <w:name w:val="页眉 字符"/>
    <w:basedOn w:val="38"/>
    <w:link w:val="24"/>
    <w:qFormat/>
    <w:uiPriority w:val="99"/>
    <w:rPr>
      <w:rFonts w:ascii="Times New Roman" w:hAnsi="Times New Roman" w:eastAsia="宋体" w:cs="Times New Roman"/>
      <w:sz w:val="18"/>
      <w:szCs w:val="20"/>
    </w:rPr>
  </w:style>
  <w:style w:type="character" w:customStyle="1" w:styleId="65">
    <w:name w:val="正文文本缩进 3 字符"/>
    <w:basedOn w:val="38"/>
    <w:link w:val="27"/>
    <w:qFormat/>
    <w:uiPriority w:val="99"/>
    <w:rPr>
      <w:rFonts w:ascii="黑体" w:hAnsi="Times New Roman" w:eastAsia="黑体" w:cs="Times New Roman"/>
      <w:color w:val="000000"/>
      <w:sz w:val="24"/>
      <w:szCs w:val="20"/>
    </w:rPr>
  </w:style>
  <w:style w:type="character" w:customStyle="1" w:styleId="66">
    <w:name w:val="正文文本 2 字符"/>
    <w:basedOn w:val="38"/>
    <w:link w:val="29"/>
    <w:qFormat/>
    <w:uiPriority w:val="99"/>
    <w:rPr>
      <w:rFonts w:ascii="Times New Roman" w:hAnsi="Times New Roman" w:eastAsia="宋体" w:cs="Times New Roman"/>
      <w:sz w:val="28"/>
      <w:szCs w:val="20"/>
    </w:rPr>
  </w:style>
  <w:style w:type="character" w:customStyle="1" w:styleId="67">
    <w:name w:val="HTML 预设格式 字符"/>
    <w:basedOn w:val="38"/>
    <w:link w:val="30"/>
    <w:qFormat/>
    <w:uiPriority w:val="99"/>
    <w:rPr>
      <w:rFonts w:ascii="黑体" w:hAnsi="Courier New" w:eastAsia="黑体" w:cs="Times New Roman"/>
      <w:kern w:val="0"/>
      <w:sz w:val="20"/>
      <w:szCs w:val="20"/>
    </w:rPr>
  </w:style>
  <w:style w:type="character" w:customStyle="1" w:styleId="68">
    <w:name w:val="批注主题 字符"/>
    <w:basedOn w:val="55"/>
    <w:link w:val="33"/>
    <w:semiHidden/>
    <w:qFormat/>
    <w:uiPriority w:val="99"/>
    <w:rPr>
      <w:rFonts w:ascii="Times New Roman" w:hAnsi="Times New Roman" w:eastAsia="宋体" w:cs="Times New Roman"/>
      <w:b/>
      <w:szCs w:val="20"/>
    </w:rPr>
  </w:style>
  <w:style w:type="character" w:customStyle="1" w:styleId="69">
    <w:name w:val="正文文本首行缩进 2 字符"/>
    <w:basedOn w:val="58"/>
    <w:link w:val="35"/>
    <w:qFormat/>
    <w:uiPriority w:val="99"/>
    <w:rPr>
      <w:rFonts w:ascii="Times New Roman" w:hAnsi="Times New Roman" w:eastAsia="宋体" w:cs="Times New Roman"/>
      <w:sz w:val="28"/>
      <w:szCs w:val="24"/>
    </w:rPr>
  </w:style>
  <w:style w:type="character" w:customStyle="1" w:styleId="70">
    <w:name w:val="Body Text 3 Char"/>
    <w:qFormat/>
    <w:locked/>
    <w:uiPriority w:val="99"/>
    <w:rPr>
      <w:rFonts w:ascii="黑体" w:hAnsi="Arial" w:eastAsia="黑体"/>
      <w:b/>
      <w:kern w:val="2"/>
      <w:sz w:val="28"/>
    </w:rPr>
  </w:style>
  <w:style w:type="character" w:customStyle="1" w:styleId="71">
    <w:name w:val="Body Text Char"/>
    <w:qFormat/>
    <w:locked/>
    <w:uiPriority w:val="99"/>
    <w:rPr>
      <w:b/>
      <w:kern w:val="2"/>
      <w:sz w:val="44"/>
    </w:rPr>
  </w:style>
  <w:style w:type="character" w:customStyle="1" w:styleId="72">
    <w:name w:val="Body Text Indent Char"/>
    <w:qFormat/>
    <w:locked/>
    <w:uiPriority w:val="99"/>
    <w:rPr>
      <w:kern w:val="2"/>
      <w:sz w:val="28"/>
    </w:rPr>
  </w:style>
  <w:style w:type="character" w:customStyle="1" w:styleId="73">
    <w:name w:val="Plain Text Char"/>
    <w:qFormat/>
    <w:locked/>
    <w:uiPriority w:val="99"/>
    <w:rPr>
      <w:rFonts w:ascii="宋体" w:hAnsi="Courier New"/>
      <w:kern w:val="2"/>
      <w:sz w:val="21"/>
    </w:rPr>
  </w:style>
  <w:style w:type="character" w:customStyle="1" w:styleId="74">
    <w:name w:val="Date Char"/>
    <w:qFormat/>
    <w:locked/>
    <w:uiPriority w:val="99"/>
    <w:rPr>
      <w:rFonts w:ascii="仿宋_GB2312" w:eastAsia="仿宋_GB2312"/>
      <w:kern w:val="2"/>
      <w:sz w:val="30"/>
    </w:rPr>
  </w:style>
  <w:style w:type="character" w:customStyle="1" w:styleId="75">
    <w:name w:val="Body Text Indent 2 Char"/>
    <w:qFormat/>
    <w:locked/>
    <w:uiPriority w:val="99"/>
    <w:rPr>
      <w:kern w:val="2"/>
      <w:sz w:val="24"/>
    </w:rPr>
  </w:style>
  <w:style w:type="character" w:customStyle="1" w:styleId="76">
    <w:name w:val="Footer Char"/>
    <w:qFormat/>
    <w:locked/>
    <w:uiPriority w:val="99"/>
    <w:rPr>
      <w:kern w:val="2"/>
      <w:sz w:val="18"/>
    </w:rPr>
  </w:style>
  <w:style w:type="character" w:customStyle="1" w:styleId="77">
    <w:name w:val="Header Char"/>
    <w:qFormat/>
    <w:locked/>
    <w:uiPriority w:val="99"/>
    <w:rPr>
      <w:kern w:val="2"/>
      <w:sz w:val="18"/>
    </w:rPr>
  </w:style>
  <w:style w:type="character" w:customStyle="1" w:styleId="78">
    <w:name w:val="Body Text Indent 3 Char"/>
    <w:qFormat/>
    <w:locked/>
    <w:uiPriority w:val="99"/>
    <w:rPr>
      <w:rFonts w:ascii="黑体" w:eastAsia="黑体"/>
      <w:color w:val="000000"/>
      <w:kern w:val="2"/>
      <w:sz w:val="24"/>
    </w:rPr>
  </w:style>
  <w:style w:type="character" w:customStyle="1" w:styleId="79">
    <w:name w:val="Body Text 2 Char"/>
    <w:qFormat/>
    <w:locked/>
    <w:uiPriority w:val="99"/>
    <w:rPr>
      <w:kern w:val="2"/>
      <w:sz w:val="28"/>
    </w:rPr>
  </w:style>
  <w:style w:type="character" w:customStyle="1" w:styleId="80">
    <w:name w:val="HTML Preformatted Char"/>
    <w:qFormat/>
    <w:locked/>
    <w:uiPriority w:val="99"/>
    <w:rPr>
      <w:rFonts w:ascii="黑体" w:hAnsi="Courier New" w:eastAsia="黑体"/>
    </w:rPr>
  </w:style>
  <w:style w:type="character" w:customStyle="1" w:styleId="81">
    <w:name w:val="bigfont"/>
    <w:qFormat/>
    <w:uiPriority w:val="99"/>
  </w:style>
  <w:style w:type="character" w:customStyle="1" w:styleId="82">
    <w:name w:val="样式 五号"/>
    <w:qFormat/>
    <w:uiPriority w:val="99"/>
    <w:rPr>
      <w:rFonts w:ascii="Arial" w:hAnsi="Arial" w:eastAsia="宋体"/>
      <w:sz w:val="21"/>
    </w:rPr>
  </w:style>
  <w:style w:type="character" w:customStyle="1" w:styleId="83">
    <w:name w:val="apple-style-span"/>
    <w:qFormat/>
    <w:uiPriority w:val="99"/>
  </w:style>
  <w:style w:type="character" w:customStyle="1" w:styleId="84">
    <w:name w:val="Char Char3"/>
    <w:qFormat/>
    <w:uiPriority w:val="99"/>
    <w:rPr>
      <w:color w:val="000000"/>
      <w:sz w:val="24"/>
      <w:u w:color="000000"/>
    </w:rPr>
  </w:style>
  <w:style w:type="character" w:customStyle="1" w:styleId="85">
    <w:name w:val="red1"/>
    <w:qFormat/>
    <w:uiPriority w:val="99"/>
    <w:rPr>
      <w:color w:val="FF0000"/>
    </w:rPr>
  </w:style>
  <w:style w:type="character" w:customStyle="1" w:styleId="86">
    <w:name w:val="apple-converted-space"/>
    <w:qFormat/>
    <w:uiPriority w:val="99"/>
  </w:style>
  <w:style w:type="character" w:customStyle="1" w:styleId="87">
    <w:name w:val="mews_title"/>
    <w:qFormat/>
    <w:uiPriority w:val="99"/>
  </w:style>
  <w:style w:type="character" w:customStyle="1" w:styleId="88">
    <w:name w:val="Char Char2"/>
    <w:qFormat/>
    <w:uiPriority w:val="99"/>
    <w:rPr>
      <w:rFonts w:eastAsia="宋体"/>
      <w:sz w:val="24"/>
      <w:lang w:val="en-US" w:eastAsia="zh-CN"/>
    </w:rPr>
  </w:style>
  <w:style w:type="paragraph" w:customStyle="1" w:styleId="89">
    <w:name w:val="Char Char Char Char Char Char Char1"/>
    <w:basedOn w:val="1"/>
    <w:qFormat/>
    <w:uiPriority w:val="99"/>
    <w:rPr>
      <w:rFonts w:ascii="Tahoma" w:hAnsi="Tahoma" w:cs="Tahoma"/>
      <w:sz w:val="24"/>
      <w:szCs w:val="24"/>
    </w:rPr>
  </w:style>
  <w:style w:type="paragraph" w:customStyle="1" w:styleId="90">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91">
    <w:name w:val="表格标题"/>
    <w:basedOn w:val="92"/>
    <w:qFormat/>
    <w:uiPriority w:val="99"/>
  </w:style>
  <w:style w:type="paragraph" w:customStyle="1" w:styleId="92">
    <w:name w:val="段落A"/>
    <w:basedOn w:val="1"/>
    <w:qFormat/>
    <w:uiPriority w:val="99"/>
    <w:pPr>
      <w:widowControl/>
      <w:spacing w:beforeLines="25"/>
      <w:jc w:val="left"/>
    </w:pPr>
    <w:rPr>
      <w:rFonts w:ascii="Arial" w:hAnsi="Arial" w:cs="Arial"/>
      <w:kern w:val="0"/>
    </w:rPr>
  </w:style>
  <w:style w:type="paragraph" w:customStyle="1" w:styleId="93">
    <w:name w:val="正文文字2"/>
    <w:basedOn w:val="14"/>
    <w:qFormat/>
    <w:uiPriority w:val="99"/>
    <w:pPr>
      <w:adjustRightInd w:val="0"/>
      <w:spacing w:after="60" w:line="360" w:lineRule="atLeast"/>
      <w:ind w:left="72" w:leftChars="30" w:right="72" w:rightChars="30"/>
      <w:textAlignment w:val="baseline"/>
    </w:pPr>
    <w:rPr>
      <w:rFonts w:ascii="Arial" w:eastAsia="黑体" w:cs="Arial"/>
      <w:b w:val="0"/>
      <w:kern w:val="0"/>
      <w:sz w:val="21"/>
      <w:szCs w:val="21"/>
    </w:rPr>
  </w:style>
  <w:style w:type="paragraph" w:customStyle="1" w:styleId="94">
    <w:name w:val="D&amp;L"/>
    <w:basedOn w:val="24"/>
    <w:qFormat/>
    <w:uiPriority w:val="99"/>
    <w:pPr>
      <w:pBdr>
        <w:bottom w:val="thinThickSmallGap" w:color="auto" w:sz="18" w:space="1"/>
      </w:pBdr>
      <w:adjustRightInd w:val="0"/>
      <w:snapToGrid/>
      <w:spacing w:line="240" w:lineRule="atLeast"/>
      <w:textAlignment w:val="baseline"/>
    </w:pPr>
    <w:rPr>
      <w:kern w:val="0"/>
      <w:sz w:val="24"/>
      <w:szCs w:val="24"/>
    </w:rPr>
  </w:style>
  <w:style w:type="paragraph" w:customStyle="1" w:styleId="95">
    <w:name w:val="Char"/>
    <w:basedOn w:val="1"/>
    <w:qFormat/>
    <w:uiPriority w:val="99"/>
    <w:pPr>
      <w:widowControl/>
      <w:spacing w:after="160" w:line="240" w:lineRule="exact"/>
      <w:jc w:val="left"/>
    </w:pPr>
  </w:style>
  <w:style w:type="paragraph" w:customStyle="1" w:styleId="96">
    <w:name w:val="Char Char Char Char"/>
    <w:basedOn w:val="1"/>
    <w:qFormat/>
    <w:uiPriority w:val="99"/>
    <w:rPr>
      <w:rFonts w:ascii="Tahoma" w:hAnsi="Tahoma" w:cs="Tahoma"/>
      <w:sz w:val="24"/>
      <w:szCs w:val="24"/>
    </w:rPr>
  </w:style>
  <w:style w:type="paragraph" w:customStyle="1" w:styleId="97">
    <w:name w:val="缺省文本"/>
    <w:basedOn w:val="1"/>
    <w:qFormat/>
    <w:uiPriority w:val="99"/>
    <w:pPr>
      <w:autoSpaceDE w:val="0"/>
      <w:autoSpaceDN w:val="0"/>
      <w:adjustRightInd w:val="0"/>
      <w:jc w:val="left"/>
    </w:pPr>
    <w:rPr>
      <w:kern w:val="0"/>
      <w:sz w:val="24"/>
      <w:szCs w:val="24"/>
    </w:rPr>
  </w:style>
  <w:style w:type="paragraph" w:customStyle="1" w:styleId="98">
    <w:name w:val="Char Char Char Char Char Char Char Char Char"/>
    <w:basedOn w:val="1"/>
    <w:qFormat/>
    <w:uiPriority w:val="99"/>
  </w:style>
  <w:style w:type="paragraph" w:customStyle="1" w:styleId="99">
    <w:name w:val="_Style 5"/>
    <w:basedOn w:val="1"/>
    <w:qFormat/>
    <w:uiPriority w:val="99"/>
    <w:pPr>
      <w:widowControl/>
      <w:spacing w:line="400" w:lineRule="exact"/>
      <w:jc w:val="center"/>
    </w:pPr>
  </w:style>
  <w:style w:type="paragraph" w:customStyle="1" w:styleId="100">
    <w:name w:val="表格中"/>
    <w:basedOn w:val="101"/>
    <w:qFormat/>
    <w:uiPriority w:val="99"/>
    <w:pPr>
      <w:jc w:val="center"/>
    </w:pPr>
  </w:style>
  <w:style w:type="paragraph" w:customStyle="1" w:styleId="101">
    <w:name w:val="表格左"/>
    <w:basedOn w:val="92"/>
    <w:qFormat/>
    <w:uiPriority w:val="99"/>
    <w:pPr>
      <w:spacing w:beforeLines="0"/>
    </w:pPr>
    <w:rPr>
      <w:sz w:val="18"/>
      <w:szCs w:val="18"/>
    </w:rPr>
  </w:style>
  <w:style w:type="paragraph" w:customStyle="1" w:styleId="102">
    <w:name w:val="Char Char Char Char Char Char Char"/>
    <w:basedOn w:val="11"/>
    <w:qFormat/>
    <w:uiPriority w:val="99"/>
    <w:rPr>
      <w:rFonts w:ascii="Tahoma" w:hAnsi="Tahoma" w:cs="Tahoma"/>
      <w:sz w:val="24"/>
      <w:szCs w:val="24"/>
    </w:rPr>
  </w:style>
  <w:style w:type="paragraph" w:customStyle="1" w:styleId="103">
    <w:name w:val="Biao00"/>
    <w:qFormat/>
    <w:uiPriority w:val="99"/>
    <w:pPr>
      <w:widowControl w:val="0"/>
      <w:spacing w:line="240" w:lineRule="atLeast"/>
      <w:jc w:val="center"/>
    </w:pPr>
    <w:rPr>
      <w:rFonts w:ascii="Arial" w:hAnsi="Arial" w:eastAsia="仿宋_GB2312" w:cs="Arial"/>
      <w:w w:val="90"/>
      <w:kern w:val="18"/>
      <w:sz w:val="24"/>
      <w:szCs w:val="24"/>
      <w:lang w:val="en-US" w:eastAsia="zh-CN" w:bidi="ar-SA"/>
    </w:rPr>
  </w:style>
  <w:style w:type="paragraph" w:customStyle="1" w:styleId="104">
    <w:name w:val="节标题"/>
    <w:basedOn w:val="1"/>
    <w:next w:val="1"/>
    <w:qFormat/>
    <w:uiPriority w:val="99"/>
    <w:pPr>
      <w:widowControl/>
      <w:spacing w:line="289" w:lineRule="atLeast"/>
      <w:jc w:val="center"/>
      <w:textAlignment w:val="baseline"/>
    </w:pPr>
    <w:rPr>
      <w:color w:val="000000"/>
      <w:kern w:val="0"/>
      <w:sz w:val="28"/>
      <w:szCs w:val="28"/>
      <w:u w:color="000000"/>
    </w:rPr>
  </w:style>
  <w:style w:type="paragraph" w:customStyle="1" w:styleId="105">
    <w:name w:val="Char1 Char Char Char"/>
    <w:basedOn w:val="1"/>
    <w:qFormat/>
    <w:uiPriority w:val="99"/>
  </w:style>
  <w:style w:type="paragraph" w:customStyle="1" w:styleId="106">
    <w:name w:val="Char1 Char Char Char Char Char Char"/>
    <w:basedOn w:val="1"/>
    <w:qFormat/>
    <w:uiPriority w:val="99"/>
    <w:rPr>
      <w:rFonts w:ascii="Tahoma" w:hAnsi="Tahoma" w:cs="Tahoma"/>
      <w:sz w:val="24"/>
      <w:szCs w:val="24"/>
    </w:rPr>
  </w:style>
  <w:style w:type="paragraph" w:customStyle="1" w:styleId="107">
    <w:name w:val="Char Char Char Char Char Char Char Char Char Char Char Char Char Char Char Char Char Char Char"/>
    <w:basedOn w:val="1"/>
    <w:qFormat/>
    <w:uiPriority w:val="99"/>
    <w:pPr>
      <w:widowControl/>
      <w:spacing w:after="160" w:line="240" w:lineRule="exact"/>
      <w:jc w:val="left"/>
    </w:pPr>
    <w:rPr>
      <w:color w:val="000000"/>
      <w:kern w:val="0"/>
      <w:u w:color="000000"/>
    </w:rPr>
  </w:style>
  <w:style w:type="paragraph" w:customStyle="1" w:styleId="108">
    <w:name w:val="正文文字1"/>
    <w:basedOn w:val="14"/>
    <w:qFormat/>
    <w:uiPriority w:val="99"/>
    <w:pPr>
      <w:adjustRightInd w:val="0"/>
      <w:spacing w:line="360" w:lineRule="atLeast"/>
      <w:ind w:left="72" w:leftChars="30" w:right="72" w:rightChars="30"/>
      <w:jc w:val="both"/>
      <w:textAlignment w:val="baseline"/>
    </w:pPr>
    <w:rPr>
      <w:b w:val="0"/>
      <w:kern w:val="0"/>
      <w:sz w:val="21"/>
      <w:szCs w:val="21"/>
    </w:rPr>
  </w:style>
  <w:style w:type="paragraph" w:customStyle="1" w:styleId="109">
    <w:name w:val="列出段落1"/>
    <w:basedOn w:val="1"/>
    <w:qFormat/>
    <w:uiPriority w:val="99"/>
    <w:pPr>
      <w:ind w:firstLine="420" w:firstLineChars="200"/>
    </w:pPr>
    <w:rPr>
      <w:rFonts w:ascii="Calibri" w:hAnsi="Calibri" w:cs="Calibri"/>
    </w:rPr>
  </w:style>
  <w:style w:type="paragraph" w:customStyle="1" w:styleId="110">
    <w:name w:val="p0"/>
    <w:basedOn w:val="1"/>
    <w:qFormat/>
    <w:uiPriority w:val="99"/>
    <w:pPr>
      <w:widowControl/>
      <w:jc w:val="left"/>
    </w:pPr>
    <w:rPr>
      <w:rFonts w:ascii="宋体" w:hAnsi="宋体" w:cs="宋体"/>
      <w:kern w:val="0"/>
      <w:sz w:val="18"/>
      <w:szCs w:val="18"/>
    </w:rPr>
  </w:style>
  <w:style w:type="paragraph" w:customStyle="1" w:styleId="111">
    <w:name w:val="默认段落字体 Para Char Char Char Char"/>
    <w:basedOn w:val="1"/>
    <w:qFormat/>
    <w:uiPriority w:val="99"/>
  </w:style>
  <w:style w:type="paragraph" w:customStyle="1" w:styleId="112">
    <w:name w:val="Char1"/>
    <w:basedOn w:val="1"/>
    <w:next w:val="1"/>
    <w:qFormat/>
    <w:uiPriority w:val="99"/>
    <w:pPr>
      <w:widowControl/>
      <w:spacing w:line="360" w:lineRule="auto"/>
      <w:jc w:val="left"/>
    </w:pPr>
  </w:style>
  <w:style w:type="paragraph" w:customStyle="1" w:styleId="113">
    <w:name w:val="Char Char Char1 Char"/>
    <w:basedOn w:val="1"/>
    <w:qFormat/>
    <w:uiPriority w:val="99"/>
  </w:style>
  <w:style w:type="paragraph" w:customStyle="1" w:styleId="114">
    <w:name w:val="flName"/>
    <w:basedOn w:val="1"/>
    <w:qFormat/>
    <w:uiPriority w:val="99"/>
    <w:pPr>
      <w:adjustRightInd w:val="0"/>
      <w:spacing w:before="320" w:after="160" w:line="360" w:lineRule="atLeast"/>
      <w:jc w:val="center"/>
      <w:textAlignment w:val="baseline"/>
    </w:pPr>
    <w:rPr>
      <w:rFonts w:ascii="Arial" w:eastAsia="黑体" w:cs="Arial"/>
      <w:kern w:val="0"/>
      <w:sz w:val="32"/>
      <w:szCs w:val="32"/>
    </w:rPr>
  </w:style>
  <w:style w:type="paragraph" w:customStyle="1" w:styleId="115">
    <w:name w:val="样式1"/>
    <w:basedOn w:val="1"/>
    <w:qFormat/>
    <w:uiPriority w:val="99"/>
    <w:rPr>
      <w:rFonts w:ascii="Arial" w:hAnsi="Arial" w:eastAsia="仿宋_GB2312" w:cs="Arial"/>
      <w:sz w:val="32"/>
      <w:szCs w:val="32"/>
    </w:rPr>
  </w:style>
  <w:style w:type="paragraph" w:styleId="116">
    <w:name w:val="List Paragraph"/>
    <w:basedOn w:val="1"/>
    <w:qFormat/>
    <w:uiPriority w:val="99"/>
    <w:pPr>
      <w:ind w:firstLine="420" w:firstLineChars="200"/>
    </w:pPr>
    <w:rPr>
      <w:szCs w:val="20"/>
    </w:rPr>
  </w:style>
  <w:style w:type="paragraph" w:customStyle="1" w:styleId="117">
    <w:name w:val="列出段落2"/>
    <w:basedOn w:val="1"/>
    <w:qFormat/>
    <w:uiPriority w:val="99"/>
    <w:pPr>
      <w:ind w:firstLine="420" w:firstLineChars="200"/>
    </w:pPr>
    <w:rPr>
      <w:szCs w:val="20"/>
    </w:rPr>
  </w:style>
  <w:style w:type="character" w:customStyle="1" w:styleId="118">
    <w:name w:val="Body text|2 + Times New Roman"/>
    <w:qFormat/>
    <w:uiPriority w:val="99"/>
    <w:rPr>
      <w:rFonts w:ascii="Times New Roman" w:hAnsi="Times New Roman" w:cs="Times New Roman"/>
      <w:color w:val="000000"/>
      <w:spacing w:val="30"/>
      <w:sz w:val="20"/>
      <w:szCs w:val="20"/>
      <w:lang w:val="en-US" w:eastAsia="en-US"/>
    </w:rPr>
  </w:style>
  <w:style w:type="character" w:customStyle="1" w:styleId="119">
    <w:name w:val="Body text|2_"/>
    <w:link w:val="120"/>
    <w:qFormat/>
    <w:locked/>
    <w:uiPriority w:val="99"/>
    <w:rPr>
      <w:rFonts w:ascii="PMingLiUfalt" w:hAnsi="PMingLiUfalt" w:eastAsia="PMingLiUfalt" w:cs="PMingLiUfalt"/>
      <w:color w:val="000000"/>
      <w:sz w:val="15"/>
      <w:szCs w:val="15"/>
      <w:shd w:val="clear" w:color="auto" w:fill="FFFFFF"/>
      <w:lang w:val="zh-CN"/>
    </w:rPr>
  </w:style>
  <w:style w:type="paragraph" w:customStyle="1" w:styleId="120">
    <w:name w:val="Body text|2"/>
    <w:basedOn w:val="1"/>
    <w:link w:val="119"/>
    <w:qFormat/>
    <w:uiPriority w:val="99"/>
    <w:pPr>
      <w:shd w:val="clear" w:color="auto" w:fill="FFFFFF"/>
      <w:spacing w:before="120" w:line="369" w:lineRule="exact"/>
      <w:jc w:val="distribute"/>
    </w:pPr>
    <w:rPr>
      <w:rFonts w:ascii="PMingLiUfalt" w:hAnsi="PMingLiUfalt" w:eastAsia="PMingLiUfalt" w:cs="PMingLiUfalt"/>
      <w:color w:val="000000"/>
      <w:sz w:val="15"/>
      <w:szCs w:val="15"/>
      <w:lang w:val="zh-CN"/>
    </w:rPr>
  </w:style>
  <w:style w:type="character" w:customStyle="1" w:styleId="121">
    <w:name w:val="页脚 字符1"/>
    <w:basedOn w:val="38"/>
    <w:semiHidden/>
    <w:qFormat/>
    <w:uiPriority w:val="99"/>
    <w:rPr>
      <w:sz w:val="18"/>
      <w:szCs w:val="18"/>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4">
    <w:name w:val="xl65"/>
    <w:basedOn w:val="1"/>
    <w:qFormat/>
    <w:uiPriority w:val="0"/>
    <w:pPr>
      <w:widowControl/>
      <w:spacing w:before="100" w:beforeAutospacing="1" w:after="100" w:afterAutospacing="1"/>
    </w:pPr>
    <w:rPr>
      <w:rFonts w:ascii="仿宋" w:hAnsi="仿宋" w:eastAsia="仿宋" w:cs="宋体"/>
      <w:kern w:val="0"/>
    </w:rPr>
  </w:style>
  <w:style w:type="paragraph" w:customStyle="1" w:styleId="125">
    <w:name w:val="xl66"/>
    <w:basedOn w:val="1"/>
    <w:qFormat/>
    <w:uiPriority w:val="0"/>
    <w:pPr>
      <w:widowControl/>
      <w:spacing w:before="100" w:beforeAutospacing="1" w:after="100" w:afterAutospacing="1"/>
      <w:jc w:val="center"/>
    </w:pPr>
    <w:rPr>
      <w:rFonts w:ascii="仿宋" w:hAnsi="仿宋" w:eastAsia="仿宋" w:cs="宋体"/>
      <w:b/>
      <w:bCs/>
      <w:kern w:val="0"/>
      <w:sz w:val="28"/>
      <w:szCs w:val="28"/>
    </w:rPr>
  </w:style>
  <w:style w:type="paragraph" w:customStyle="1" w:styleId="126">
    <w:name w:val="xl67"/>
    <w:basedOn w:val="1"/>
    <w:qFormat/>
    <w:uiPriority w:val="0"/>
    <w:pPr>
      <w:widowControl/>
      <w:spacing w:before="100" w:beforeAutospacing="1" w:after="100" w:afterAutospacing="1"/>
    </w:pPr>
    <w:rPr>
      <w:rFonts w:ascii="仿宋" w:hAnsi="仿宋" w:eastAsia="仿宋" w:cs="宋体"/>
      <w:b/>
      <w:bCs/>
      <w:kern w:val="0"/>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29">
    <w:name w:val="xl70"/>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1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131">
    <w:name w:val="xl72"/>
    <w:basedOn w:val="1"/>
    <w:qFormat/>
    <w:uiPriority w:val="0"/>
    <w:pPr>
      <w:widowControl/>
      <w:spacing w:before="100" w:beforeAutospacing="1" w:after="100" w:afterAutospacing="1"/>
      <w:jc w:val="left"/>
    </w:pPr>
    <w:rPr>
      <w:rFonts w:ascii="仿宋" w:hAnsi="仿宋" w:eastAsia="仿宋" w:cs="宋体"/>
      <w:kern w:val="0"/>
    </w:rPr>
  </w:style>
  <w:style w:type="paragraph" w:customStyle="1" w:styleId="132">
    <w:name w:val="xl73"/>
    <w:basedOn w:val="1"/>
    <w:qFormat/>
    <w:uiPriority w:val="0"/>
    <w:pPr>
      <w:widowControl/>
      <w:spacing w:before="100" w:beforeAutospacing="1" w:after="100" w:afterAutospacing="1"/>
      <w:jc w:val="center"/>
    </w:pPr>
    <w:rPr>
      <w:rFonts w:ascii="仿宋" w:hAnsi="仿宋" w:eastAsia="仿宋" w:cs="宋体"/>
      <w:kern w:val="0"/>
      <w:sz w:val="24"/>
      <w:szCs w:val="24"/>
    </w:rPr>
  </w:style>
  <w:style w:type="paragraph" w:customStyle="1" w:styleId="133">
    <w:name w:val="xl74"/>
    <w:basedOn w:val="1"/>
    <w:qFormat/>
    <w:uiPriority w:val="0"/>
    <w:pPr>
      <w:widowControl/>
      <w:pBdr>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134">
    <w:name w:val="xl75"/>
    <w:basedOn w:val="1"/>
    <w:qFormat/>
    <w:uiPriority w:val="0"/>
    <w:pPr>
      <w:widowControl/>
      <w:spacing w:before="100" w:beforeAutospacing="1" w:after="100" w:afterAutospacing="1"/>
      <w:jc w:val="left"/>
    </w:pPr>
    <w:rPr>
      <w:rFonts w:ascii="仿宋" w:hAnsi="仿宋" w:eastAsia="仿宋" w:cs="宋体"/>
      <w:b/>
      <w:bCs/>
      <w:color w:val="000000"/>
      <w:kern w:val="0"/>
      <w:sz w:val="24"/>
      <w:szCs w:val="24"/>
    </w:rPr>
  </w:style>
  <w:style w:type="paragraph" w:customStyle="1" w:styleId="1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13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3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1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rPr>
  </w:style>
  <w:style w:type="paragraph" w:customStyle="1" w:styleId="140">
    <w:name w:val="xl81"/>
    <w:basedOn w:val="1"/>
    <w:qFormat/>
    <w:uiPriority w:val="0"/>
    <w:pPr>
      <w:widowControl/>
      <w:spacing w:before="100" w:beforeAutospacing="1" w:after="100" w:afterAutospacing="1"/>
      <w:jc w:val="left"/>
    </w:pPr>
    <w:rPr>
      <w:rFonts w:ascii="仿宋" w:hAnsi="仿宋" w:eastAsia="仿宋" w:cs="宋体"/>
      <w:b/>
      <w:bCs/>
      <w:kern w:val="0"/>
    </w:rPr>
  </w:style>
  <w:style w:type="paragraph" w:customStyle="1" w:styleId="1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4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1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44">
    <w:name w:val="xl85"/>
    <w:basedOn w:val="1"/>
    <w:qFormat/>
    <w:uiPriority w:val="0"/>
    <w:pPr>
      <w:widowControl/>
      <w:spacing w:before="100" w:beforeAutospacing="1" w:after="100" w:afterAutospacing="1"/>
      <w:jc w:val="center"/>
    </w:pPr>
    <w:rPr>
      <w:rFonts w:ascii="仿宋" w:hAnsi="仿宋" w:eastAsia="仿宋" w:cs="宋体"/>
      <w:b/>
      <w:bCs/>
      <w:color w:val="000000"/>
      <w:kern w:val="0"/>
      <w:sz w:val="28"/>
      <w:szCs w:val="28"/>
    </w:rPr>
  </w:style>
  <w:style w:type="table" w:customStyle="1" w:styleId="145">
    <w:name w:val="网格型1"/>
    <w:basedOn w:val="36"/>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2"/>
    <w:basedOn w:val="36"/>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8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1">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2">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3">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4">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6">
    <w:name w:val="xl92"/>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9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58">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5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0">
    <w:name w:val="xl9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1">
    <w:name w:val="xl9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2">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3">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4">
    <w:name w:val="xl10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65">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7">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70">
    <w:name w:val="xl10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71">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character" w:customStyle="1" w:styleId="172">
    <w:name w:val="font71"/>
    <w:basedOn w:val="38"/>
    <w:qFormat/>
    <w:uiPriority w:val="0"/>
    <w:rPr>
      <w:rFonts w:hint="default" w:ascii="Arial" w:hAnsi="Arial" w:cs="Arial"/>
      <w:color w:val="000000"/>
      <w:sz w:val="18"/>
      <w:szCs w:val="18"/>
      <w:u w:val="none"/>
    </w:rPr>
  </w:style>
  <w:style w:type="character" w:customStyle="1" w:styleId="173">
    <w:name w:val="font121"/>
    <w:basedOn w:val="38"/>
    <w:qFormat/>
    <w:uiPriority w:val="0"/>
    <w:rPr>
      <w:rFonts w:hint="eastAsia" w:ascii="宋体" w:hAnsi="宋体" w:eastAsia="宋体" w:cs="宋体"/>
      <w:color w:val="000000"/>
      <w:sz w:val="18"/>
      <w:szCs w:val="18"/>
      <w:u w:val="none"/>
    </w:rPr>
  </w:style>
  <w:style w:type="character" w:customStyle="1" w:styleId="174">
    <w:name w:val="font21"/>
    <w:basedOn w:val="38"/>
    <w:qFormat/>
    <w:uiPriority w:val="0"/>
    <w:rPr>
      <w:rFonts w:hint="default" w:ascii="等线" w:hAnsi="等线" w:eastAsia="等线" w:cs="等线"/>
      <w:b/>
      <w:bCs/>
      <w:color w:val="000000"/>
      <w:sz w:val="20"/>
      <w:szCs w:val="20"/>
      <w:u w:val="none"/>
    </w:rPr>
  </w:style>
  <w:style w:type="character" w:customStyle="1" w:styleId="175">
    <w:name w:val="font11"/>
    <w:basedOn w:val="38"/>
    <w:qFormat/>
    <w:uiPriority w:val="0"/>
    <w:rPr>
      <w:rFonts w:hint="default" w:ascii="等线" w:hAnsi="等线" w:eastAsia="等线" w:cs="等线"/>
      <w:b/>
      <w:bCs/>
      <w:color w:val="FF0000"/>
      <w:sz w:val="20"/>
      <w:szCs w:val="20"/>
      <w:u w:val="none"/>
    </w:rPr>
  </w:style>
  <w:style w:type="character" w:customStyle="1" w:styleId="176">
    <w:name w:val="font12"/>
    <w:basedOn w:val="38"/>
    <w:qFormat/>
    <w:uiPriority w:val="0"/>
    <w:rPr>
      <w:rFonts w:hint="default" w:ascii="等线" w:hAnsi="等线" w:eastAsia="等线" w:cs="等线"/>
      <w:b/>
      <w:bCs/>
      <w:color w:val="000000"/>
      <w:sz w:val="20"/>
      <w:szCs w:val="20"/>
      <w:u w:val="none"/>
    </w:rPr>
  </w:style>
  <w:style w:type="character" w:customStyle="1" w:styleId="177">
    <w:name w:val="font41"/>
    <w:basedOn w:val="38"/>
    <w:qFormat/>
    <w:uiPriority w:val="0"/>
    <w:rPr>
      <w:rFonts w:hint="default" w:ascii="等线" w:hAnsi="等线" w:eastAsia="等线" w:cs="等线"/>
      <w:b/>
      <w:bCs/>
      <w:color w:val="FF0000"/>
      <w:sz w:val="20"/>
      <w:szCs w:val="20"/>
      <w:u w:val="none"/>
    </w:rPr>
  </w:style>
  <w:style w:type="character" w:customStyle="1" w:styleId="178">
    <w:name w:val="font131"/>
    <w:basedOn w:val="38"/>
    <w:qFormat/>
    <w:uiPriority w:val="0"/>
    <w:rPr>
      <w:rFonts w:ascii="等线" w:hAnsi="等线" w:eastAsia="等线" w:cs="等线"/>
      <w:color w:val="000000"/>
      <w:sz w:val="20"/>
      <w:szCs w:val="20"/>
      <w:u w:val="none"/>
    </w:rPr>
  </w:style>
  <w:style w:type="character" w:customStyle="1" w:styleId="179">
    <w:name w:val="font91"/>
    <w:basedOn w:val="38"/>
    <w:qFormat/>
    <w:uiPriority w:val="0"/>
    <w:rPr>
      <w:rFonts w:hint="eastAsia" w:ascii="宋体" w:hAnsi="宋体" w:eastAsia="宋体" w:cs="宋体"/>
      <w:color w:val="000000"/>
      <w:sz w:val="20"/>
      <w:szCs w:val="20"/>
      <w:u w:val="none"/>
    </w:rPr>
  </w:style>
  <w:style w:type="character" w:customStyle="1" w:styleId="180">
    <w:name w:val="font141"/>
    <w:basedOn w:val="38"/>
    <w:qFormat/>
    <w:uiPriority w:val="0"/>
    <w:rPr>
      <w:rFonts w:hint="default" w:ascii="等线" w:hAnsi="等线" w:eastAsia="等线" w:cs="等线"/>
      <w:color w:val="030303"/>
      <w:sz w:val="22"/>
      <w:szCs w:val="22"/>
      <w:u w:val="none"/>
    </w:rPr>
  </w:style>
  <w:style w:type="character" w:customStyle="1" w:styleId="181">
    <w:name w:val="font31"/>
    <w:basedOn w:val="38"/>
    <w:qFormat/>
    <w:uiPriority w:val="0"/>
    <w:rPr>
      <w:rFonts w:hint="default" w:ascii="等线" w:hAnsi="等线" w:eastAsia="等线" w:cs="等线"/>
      <w:color w:val="000000"/>
      <w:sz w:val="20"/>
      <w:szCs w:val="20"/>
      <w:u w:val="none"/>
    </w:rPr>
  </w:style>
  <w:style w:type="character" w:customStyle="1" w:styleId="182">
    <w:name w:val="font51"/>
    <w:basedOn w:val="38"/>
    <w:qFormat/>
    <w:uiPriority w:val="0"/>
    <w:rPr>
      <w:rFonts w:hint="default" w:ascii="等线" w:hAnsi="等线" w:eastAsia="等线" w:cs="等线"/>
      <w:b/>
      <w:bCs/>
      <w:color w:val="FF0000"/>
      <w:sz w:val="20"/>
      <w:szCs w:val="20"/>
      <w:u w:val="none"/>
    </w:rPr>
  </w:style>
  <w:style w:type="character" w:customStyle="1" w:styleId="183">
    <w:name w:val="font151"/>
    <w:basedOn w:val="38"/>
    <w:qFormat/>
    <w:uiPriority w:val="0"/>
    <w:rPr>
      <w:rFonts w:hint="default" w:ascii="Times New Roman" w:hAnsi="Times New Roman" w:cs="Times New Roman"/>
      <w:color w:val="000000"/>
      <w:sz w:val="20"/>
      <w:szCs w:val="20"/>
      <w:u w:val="none"/>
    </w:rPr>
  </w:style>
  <w:style w:type="character" w:customStyle="1" w:styleId="184">
    <w:name w:val="font171"/>
    <w:basedOn w:val="38"/>
    <w:qFormat/>
    <w:uiPriority w:val="0"/>
    <w:rPr>
      <w:rFonts w:hint="eastAsia" w:ascii="宋体" w:hAnsi="宋体" w:eastAsia="宋体" w:cs="宋体"/>
      <w:color w:val="000000"/>
      <w:sz w:val="20"/>
      <w:szCs w:val="20"/>
      <w:u w:val="none"/>
    </w:rPr>
  </w:style>
  <w:style w:type="character" w:customStyle="1" w:styleId="185">
    <w:name w:val="font101"/>
    <w:basedOn w:val="38"/>
    <w:qFormat/>
    <w:uiPriority w:val="0"/>
    <w:rPr>
      <w:rFonts w:hint="default" w:ascii="等线" w:hAnsi="等线" w:eastAsia="等线" w:cs="等线"/>
      <w:color w:val="000000"/>
      <w:sz w:val="20"/>
      <w:szCs w:val="20"/>
      <w:u w:val="none"/>
    </w:rPr>
  </w:style>
  <w:style w:type="character" w:customStyle="1" w:styleId="186">
    <w:name w:val="font161"/>
    <w:basedOn w:val="38"/>
    <w:qFormat/>
    <w:uiPriority w:val="0"/>
    <w:rPr>
      <w:rFonts w:hint="default" w:ascii="Tahoma" w:hAnsi="Tahoma" w:eastAsia="Tahoma" w:cs="Tahoma"/>
      <w:color w:val="000000"/>
      <w:sz w:val="20"/>
      <w:szCs w:val="20"/>
      <w:u w:val="none"/>
    </w:rPr>
  </w:style>
  <w:style w:type="character" w:customStyle="1" w:styleId="187">
    <w:name w:val="font181"/>
    <w:basedOn w:val="38"/>
    <w:qFormat/>
    <w:uiPriority w:val="0"/>
    <w:rPr>
      <w:rFonts w:hint="default" w:ascii="Arial" w:hAnsi="Arial" w:cs="Arial"/>
      <w:color w:val="000000"/>
      <w:sz w:val="20"/>
      <w:szCs w:val="20"/>
      <w:u w:val="none"/>
    </w:rPr>
  </w:style>
  <w:style w:type="character" w:customStyle="1" w:styleId="188">
    <w:name w:val="font112"/>
    <w:basedOn w:val="38"/>
    <w:qFormat/>
    <w:uiPriority w:val="0"/>
    <w:rPr>
      <w:rFonts w:hint="eastAsia" w:ascii="宋体" w:hAnsi="宋体" w:eastAsia="宋体" w:cs="宋体"/>
      <w:color w:val="000000"/>
      <w:sz w:val="20"/>
      <w:szCs w:val="20"/>
      <w:u w:val="none"/>
    </w:rPr>
  </w:style>
  <w:style w:type="character" w:customStyle="1" w:styleId="189">
    <w:name w:val="font231"/>
    <w:basedOn w:val="38"/>
    <w:qFormat/>
    <w:uiPriority w:val="0"/>
    <w:rPr>
      <w:rFonts w:hint="eastAsia" w:ascii="等线" w:hAnsi="等线" w:eastAsia="等线" w:cs="等线"/>
      <w:color w:val="000000"/>
      <w:sz w:val="20"/>
      <w:szCs w:val="20"/>
      <w:u w:val="none"/>
    </w:rPr>
  </w:style>
  <w:style w:type="character" w:customStyle="1" w:styleId="190">
    <w:name w:val="font201"/>
    <w:basedOn w:val="38"/>
    <w:qFormat/>
    <w:uiPriority w:val="0"/>
    <w:rPr>
      <w:rFonts w:hint="default" w:ascii="Times New Roman" w:hAnsi="Times New Roman" w:cs="Times New Roman"/>
      <w:color w:val="000000"/>
      <w:sz w:val="20"/>
      <w:szCs w:val="20"/>
      <w:u w:val="none"/>
    </w:rPr>
  </w:style>
  <w:style w:type="character" w:customStyle="1" w:styleId="191">
    <w:name w:val="font221"/>
    <w:basedOn w:val="38"/>
    <w:qFormat/>
    <w:uiPriority w:val="0"/>
    <w:rPr>
      <w:rFonts w:hint="eastAsia" w:ascii="宋体" w:hAnsi="宋体" w:eastAsia="宋体" w:cs="宋体"/>
      <w:color w:val="000000"/>
      <w:sz w:val="20"/>
      <w:szCs w:val="20"/>
      <w:u w:val="none"/>
    </w:rPr>
  </w:style>
  <w:style w:type="character" w:customStyle="1" w:styleId="192">
    <w:name w:val="font261"/>
    <w:basedOn w:val="38"/>
    <w:qFormat/>
    <w:uiPriority w:val="0"/>
    <w:rPr>
      <w:rFonts w:hint="default" w:ascii="Times New Roman" w:hAnsi="Times New Roman" w:cs="Times New Roman"/>
      <w:color w:val="000000"/>
      <w:sz w:val="20"/>
      <w:szCs w:val="20"/>
      <w:u w:val="none"/>
    </w:rPr>
  </w:style>
  <w:style w:type="character" w:customStyle="1" w:styleId="193">
    <w:name w:val="font01"/>
    <w:basedOn w:val="38"/>
    <w:qFormat/>
    <w:uiPriority w:val="0"/>
    <w:rPr>
      <w:rFonts w:hint="eastAsia" w:ascii="宋体" w:hAnsi="宋体" w:eastAsia="宋体" w:cs="宋体"/>
      <w:color w:val="000000"/>
      <w:sz w:val="20"/>
      <w:szCs w:val="20"/>
      <w:u w:val="none"/>
    </w:rPr>
  </w:style>
  <w:style w:type="character" w:customStyle="1" w:styleId="194">
    <w:name w:val="font81"/>
    <w:basedOn w:val="38"/>
    <w:qFormat/>
    <w:uiPriority w:val="0"/>
    <w:rPr>
      <w:rFonts w:hint="default" w:ascii="Arial" w:hAnsi="Arial" w:cs="Arial"/>
      <w:color w:val="000000"/>
      <w:sz w:val="20"/>
      <w:szCs w:val="20"/>
      <w:u w:val="none"/>
    </w:rPr>
  </w:style>
  <w:style w:type="character" w:customStyle="1" w:styleId="195">
    <w:name w:val="font61"/>
    <w:basedOn w:val="38"/>
    <w:qFormat/>
    <w:uiPriority w:val="0"/>
    <w:rPr>
      <w:rFonts w:hint="default" w:ascii="等线" w:hAnsi="等线" w:eastAsia="等线" w:cs="等线"/>
      <w:b/>
      <w:bCs/>
      <w:color w:val="000000"/>
      <w:sz w:val="20"/>
      <w:szCs w:val="20"/>
      <w:u w:val="none"/>
    </w:rPr>
  </w:style>
  <w:style w:type="character" w:customStyle="1" w:styleId="196">
    <w:name w:val="标题 6 字符"/>
    <w:basedOn w:val="38"/>
    <w:link w:val="7"/>
    <w:qFormat/>
    <w:uiPriority w:val="9"/>
    <w:rPr>
      <w:rFonts w:asciiTheme="majorHAnsi" w:hAnsiTheme="majorHAnsi" w:eastAsiaTheme="majorEastAsia" w:cstheme="majorBidi"/>
      <w:b/>
      <w:bCs/>
      <w:kern w:val="2"/>
      <w:sz w:val="24"/>
      <w:szCs w:val="24"/>
    </w:rPr>
  </w:style>
  <w:style w:type="character" w:customStyle="1" w:styleId="197">
    <w:name w:val="标题 7 字符"/>
    <w:basedOn w:val="38"/>
    <w:link w:val="8"/>
    <w:qFormat/>
    <w:uiPriority w:val="9"/>
    <w:rPr>
      <w:b/>
      <w:bCs/>
      <w:kern w:val="2"/>
      <w:sz w:val="24"/>
      <w:szCs w:val="24"/>
    </w:rPr>
  </w:style>
  <w:style w:type="character" w:customStyle="1" w:styleId="198">
    <w:name w:val="15"/>
    <w:qFormat/>
    <w:uiPriority w:val="0"/>
    <w:rPr>
      <w:rFonts w:hint="default" w:ascii="Calibri" w:hAnsi="Calibri" w:cs="Calibri"/>
    </w:rPr>
  </w:style>
  <w:style w:type="paragraph" w:customStyle="1" w:styleId="199">
    <w:name w:val="Normal_25"/>
    <w:qFormat/>
    <w:uiPriority w:val="0"/>
    <w:pPr>
      <w:widowControl w:val="0"/>
      <w:jc w:val="both"/>
    </w:pPr>
    <w:rPr>
      <w:rFonts w:ascii="Calibri" w:hAnsi="Calibri" w:eastAsia="宋体" w:cs="Times New Roman"/>
      <w:lang w:val="en-US" w:eastAsia="zh-CN" w:bidi="ar-SA"/>
    </w:rPr>
  </w:style>
  <w:style w:type="paragraph" w:customStyle="1" w:styleId="200">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修订1"/>
    <w:hidden/>
    <w:unhideWhenUsed/>
    <w:qFormat/>
    <w:uiPriority w:val="99"/>
    <w:rPr>
      <w:rFonts w:ascii="Times New Roman" w:hAnsi="Times New Roman" w:eastAsia="宋体" w:cs="Times New Roman"/>
      <w:kern w:val="2"/>
      <w:sz w:val="21"/>
      <w:szCs w:val="21"/>
      <w:lang w:val="en-US" w:eastAsia="zh-CN" w:bidi="ar-SA"/>
    </w:rPr>
  </w:style>
  <w:style w:type="paragraph" w:customStyle="1" w:styleId="204">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_0_0"/>
    <w:autoRedefine/>
    <w:qFormat/>
    <w:uiPriority w:val="0"/>
    <w:pPr>
      <w:widowControl w:val="0"/>
      <w:spacing w:line="336" w:lineRule="auto"/>
      <w:ind w:firstLine="482" w:firstLineChars="200"/>
      <w:jc w:val="both"/>
    </w:pPr>
    <w:rPr>
      <w:rFonts w:ascii="宋体" w:hAnsi="宋体" w:eastAsia="宋体" w:cs="Times New Roman"/>
      <w:b/>
      <w:bCs/>
      <w:kern w:val="2"/>
      <w:sz w:val="24"/>
      <w:szCs w:val="24"/>
      <w:lang w:val="en-US" w:eastAsia="zh-CN" w:bidi="ar-SA"/>
    </w:rPr>
  </w:style>
  <w:style w:type="paragraph" w:customStyle="1" w:styleId="206">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Normal_7"/>
    <w:qFormat/>
    <w:uiPriority w:val="0"/>
    <w:pPr>
      <w:widowControl w:val="0"/>
      <w:jc w:val="both"/>
    </w:pPr>
    <w:rPr>
      <w:rFonts w:ascii="Calibri" w:hAnsi="Calibri" w:eastAsia="宋体" w:cs="Times New Roman"/>
      <w:kern w:val="2"/>
      <w:sz w:val="24"/>
      <w:szCs w:val="22"/>
      <w:lang w:val="en-US" w:eastAsia="zh-CN" w:bidi="ar-SA"/>
    </w:rPr>
  </w:style>
  <w:style w:type="paragraph" w:customStyle="1" w:styleId="208">
    <w:name w:val="正文_1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9">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10">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11">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12">
    <w:name w:val="未处理的提及1"/>
    <w:basedOn w:val="38"/>
    <w:semiHidden/>
    <w:unhideWhenUsed/>
    <w:qFormat/>
    <w:uiPriority w:val="99"/>
    <w:rPr>
      <w:color w:val="605E5C"/>
      <w:shd w:val="clear" w:color="auto" w:fill="E1DFDD"/>
    </w:rPr>
  </w:style>
  <w:style w:type="paragraph" w:customStyle="1" w:styleId="213">
    <w:name w:val="修订5"/>
    <w:hidden/>
    <w:unhideWhenUsed/>
    <w:qFormat/>
    <w:uiPriority w:val="99"/>
    <w:rPr>
      <w:rFonts w:ascii="Times New Roman" w:hAnsi="Times New Roman" w:eastAsia="宋体" w:cs="Times New Roman"/>
      <w:kern w:val="2"/>
      <w:sz w:val="21"/>
      <w:szCs w:val="21"/>
      <w:lang w:val="en-US" w:eastAsia="zh-CN" w:bidi="ar-SA"/>
    </w:rPr>
  </w:style>
  <w:style w:type="paragraph" w:customStyle="1" w:styleId="214">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修订6"/>
    <w:hidden/>
    <w:unhideWhenUsed/>
    <w:qFormat/>
    <w:uiPriority w:val="99"/>
    <w:rPr>
      <w:rFonts w:ascii="Times New Roman" w:hAnsi="Times New Roman" w:eastAsia="宋体" w:cs="Times New Roman"/>
      <w:kern w:val="2"/>
      <w:sz w:val="21"/>
      <w:szCs w:val="21"/>
      <w:lang w:val="en-US" w:eastAsia="zh-CN" w:bidi="ar-SA"/>
    </w:rPr>
  </w:style>
  <w:style w:type="paragraph" w:customStyle="1" w:styleId="216">
    <w:name w:val="修订7"/>
    <w:hidden/>
    <w:unhideWhenUsed/>
    <w:qFormat/>
    <w:uiPriority w:val="99"/>
    <w:rPr>
      <w:rFonts w:ascii="Times New Roman" w:hAnsi="Times New Roman" w:eastAsia="宋体" w:cs="Times New Roman"/>
      <w:kern w:val="2"/>
      <w:sz w:val="21"/>
      <w:szCs w:val="21"/>
      <w:lang w:val="en-US" w:eastAsia="zh-CN" w:bidi="ar-SA"/>
    </w:rPr>
  </w:style>
  <w:style w:type="paragraph" w:customStyle="1" w:styleId="217">
    <w:name w:val="修订8"/>
    <w:hidden/>
    <w:unhideWhenUsed/>
    <w:qFormat/>
    <w:uiPriority w:val="99"/>
    <w:rPr>
      <w:rFonts w:ascii="Times New Roman" w:hAnsi="Times New Roman" w:eastAsia="宋体" w:cs="Times New Roman"/>
      <w:kern w:val="2"/>
      <w:sz w:val="21"/>
      <w:szCs w:val="21"/>
      <w:lang w:val="en-US" w:eastAsia="zh-CN" w:bidi="ar-SA"/>
    </w:rPr>
  </w:style>
  <w:style w:type="paragraph" w:customStyle="1" w:styleId="218">
    <w:name w:val="修订9"/>
    <w:hidden/>
    <w:unhideWhenUsed/>
    <w:qFormat/>
    <w:uiPriority w:val="99"/>
    <w:rPr>
      <w:rFonts w:ascii="Times New Roman" w:hAnsi="Times New Roman" w:eastAsia="宋体" w:cs="Times New Roman"/>
      <w:kern w:val="2"/>
      <w:sz w:val="21"/>
      <w:szCs w:val="21"/>
      <w:lang w:val="en-US" w:eastAsia="zh-CN" w:bidi="ar-SA"/>
    </w:rPr>
  </w:style>
  <w:style w:type="paragraph" w:customStyle="1" w:styleId="219">
    <w:name w:val="正文_1"/>
    <w:link w:val="2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修订10"/>
    <w:hidden/>
    <w:unhideWhenUsed/>
    <w:qFormat/>
    <w:uiPriority w:val="99"/>
    <w:rPr>
      <w:rFonts w:ascii="Times New Roman" w:hAnsi="Times New Roman" w:eastAsia="宋体" w:cs="Times New Roman"/>
      <w:kern w:val="2"/>
      <w:sz w:val="21"/>
      <w:szCs w:val="21"/>
      <w:lang w:val="en-US" w:eastAsia="zh-CN" w:bidi="ar-SA"/>
    </w:rPr>
  </w:style>
  <w:style w:type="paragraph" w:customStyle="1" w:styleId="221">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222">
    <w:name w:val="null3"/>
    <w:hidden/>
    <w:qFormat/>
    <w:uiPriority w:val="0"/>
    <w:rPr>
      <w:rFonts w:hint="eastAsia" w:asciiTheme="minorHAnsi" w:hAnsiTheme="minorHAnsi" w:eastAsiaTheme="minorEastAsia" w:cstheme="minorBidi"/>
      <w:lang w:val="en-US" w:eastAsia="zh-Hans"/>
    </w:rPr>
  </w:style>
  <w:style w:type="paragraph" w:customStyle="1" w:styleId="223">
    <w:name w:val="Table Text"/>
    <w:basedOn w:val="1"/>
    <w:semiHidden/>
    <w:qFormat/>
    <w:uiPriority w:val="0"/>
    <w:rPr>
      <w:rFonts w:ascii="宋体" w:hAnsi="宋体" w:eastAsia="宋体" w:cs="宋体"/>
      <w:sz w:val="20"/>
      <w:szCs w:val="20"/>
      <w:lang w:val="en-US" w:eastAsia="en-US" w:bidi="ar-SA"/>
    </w:rPr>
  </w:style>
  <w:style w:type="table" w:customStyle="1" w:styleId="224">
    <w:name w:val="Table Normal"/>
    <w:semiHidden/>
    <w:unhideWhenUsed/>
    <w:qFormat/>
    <w:uiPriority w:val="0"/>
    <w:tblPr>
      <w:tblCellMar>
        <w:top w:w="0" w:type="dxa"/>
        <w:left w:w="0" w:type="dxa"/>
        <w:bottom w:w="0" w:type="dxa"/>
        <w:right w:w="0" w:type="dxa"/>
      </w:tblCellMar>
    </w:tblPr>
  </w:style>
  <w:style w:type="character" w:customStyle="1" w:styleId="225">
    <w:name w:val="正文_1 Char"/>
    <w:link w:val="219"/>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137</Words>
  <Characters>161</Characters>
  <Lines>3157</Lines>
  <Paragraphs>3106</Paragraphs>
  <TotalTime>1</TotalTime>
  <ScaleCrop>false</ScaleCrop>
  <LinksUpToDate>false</LinksUpToDate>
  <CharactersWithSpaces>174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2025-09-08T05:46:00Z</dcterms:created>
  <dc:creator>user</dc:creator>
  <cp:lastModifiedBy>dawn.</cp:lastModifiedBy>
  <cp:lastPrinted>2025-12-12T05:47:00Z</cp:lastPrinted>
  <dcterms:modified xsi:type="dcterms:W3CDTF">2026-01-15T01:54:00Z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B842A6FE59924F3FBC26A6F39AF13CD3_13</vt:lpwstr>
  </property>
  <property fmtid="{D5CDD505-2E9C-101B-9397-08002B2CF9AE}" pid="4" name="KSOTemplateDocerSaveRecord">
    <vt:lpwstr>eyJoZGlkIjoiMzFiMzczMzU0NGFhODk3N2MyZTQwNzk4NTlkMDY2NzIiLCJ1c2VySWQiOiI5NzM4NTQ2MTUifQ==</vt:lpwstr>
  </property>
</Properties>
</file>