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07" w:rsidRDefault="00AC5E07">
      <w:pPr>
        <w:jc w:val="center"/>
        <w:rPr>
          <w:rFonts w:ascii="黑体" w:eastAsia="黑体" w:hAnsi="黑体" w:cs="黑体"/>
          <w:sz w:val="44"/>
          <w:szCs w:val="44"/>
        </w:rPr>
      </w:pPr>
      <w:r w:rsidRPr="00AC5E07">
        <w:rPr>
          <w:rFonts w:ascii="黑体" w:eastAsia="黑体" w:hAnsi="黑体" w:cs="黑体" w:hint="eastAsia"/>
          <w:sz w:val="44"/>
          <w:szCs w:val="44"/>
        </w:rPr>
        <w:t>流式细胞仪配套耗材试剂</w:t>
      </w:r>
    </w:p>
    <w:p w:rsidR="00FD1C0E" w:rsidRDefault="00B27F4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遴选</w:t>
      </w:r>
      <w:r>
        <w:rPr>
          <w:rFonts w:ascii="黑体" w:eastAsia="黑体" w:hAnsi="黑体" w:hint="eastAsia"/>
          <w:sz w:val="44"/>
          <w:szCs w:val="44"/>
        </w:rPr>
        <w:t>文件（第</w:t>
      </w:r>
      <w:r w:rsidR="008B5831">
        <w:rPr>
          <w:rFonts w:ascii="黑体" w:eastAsia="黑体" w:hAnsi="黑体" w:hint="eastAsia"/>
          <w:sz w:val="44"/>
          <w:szCs w:val="44"/>
        </w:rPr>
        <w:t>二</w:t>
      </w:r>
      <w:r>
        <w:rPr>
          <w:rFonts w:ascii="黑体" w:eastAsia="黑体" w:hAnsi="黑体" w:hint="eastAsia"/>
          <w:sz w:val="44"/>
          <w:szCs w:val="44"/>
        </w:rPr>
        <w:t>次）</w:t>
      </w:r>
    </w:p>
    <w:p w:rsidR="00FD1C0E" w:rsidRPr="00AC5E07" w:rsidRDefault="00FD1C0E">
      <w:pPr>
        <w:rPr>
          <w:sz w:val="24"/>
          <w:szCs w:val="24"/>
        </w:rPr>
      </w:pPr>
    </w:p>
    <w:p w:rsidR="00FD1C0E" w:rsidRDefault="00B27F4F" w:rsidP="001172BF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 w:rsidR="001172BF" w:rsidRPr="001172BF">
        <w:rPr>
          <w:rFonts w:hint="eastAsia"/>
          <w:sz w:val="24"/>
          <w:szCs w:val="24"/>
        </w:rPr>
        <w:t>流式细胞仪配套耗材试剂</w:t>
      </w:r>
      <w:r>
        <w:rPr>
          <w:rFonts w:hint="eastAsia"/>
          <w:sz w:val="24"/>
          <w:szCs w:val="24"/>
        </w:rPr>
        <w:t>遴选</w:t>
      </w:r>
    </w:p>
    <w:p w:rsidR="00FD1C0E" w:rsidRDefault="00B27F4F" w:rsidP="001A53D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采购需求：</w:t>
      </w:r>
      <w:r w:rsidR="001A53D8">
        <w:rPr>
          <w:rFonts w:hint="eastAsia"/>
          <w:sz w:val="24"/>
          <w:szCs w:val="24"/>
        </w:rPr>
        <w:t>详见</w:t>
      </w:r>
      <w:r w:rsidR="001A53D8">
        <w:rPr>
          <w:sz w:val="24"/>
          <w:szCs w:val="24"/>
        </w:rPr>
        <w:t>附件</w:t>
      </w:r>
      <w:r w:rsidR="00B1643D">
        <w:rPr>
          <w:sz w:val="24"/>
          <w:szCs w:val="24"/>
        </w:rPr>
        <w:t>1</w:t>
      </w:r>
      <w:r w:rsidR="001A53D8">
        <w:rPr>
          <w:rFonts w:hint="eastAsia"/>
          <w:sz w:val="24"/>
          <w:szCs w:val="24"/>
        </w:rPr>
        <w:t>。</w:t>
      </w:r>
    </w:p>
    <w:p w:rsidR="00132D6A" w:rsidRPr="001A53D8" w:rsidRDefault="00132D6A" w:rsidP="00132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 w:rsidR="00563D2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63D2E">
        <w:rPr>
          <w:rFonts w:hint="eastAsia"/>
          <w:sz w:val="24"/>
          <w:szCs w:val="24"/>
        </w:rPr>
        <w:t>所有</w:t>
      </w:r>
      <w:r w:rsidR="00563D2E">
        <w:rPr>
          <w:sz w:val="24"/>
          <w:szCs w:val="24"/>
        </w:rPr>
        <w:t>产品</w:t>
      </w:r>
      <w:proofErr w:type="gramStart"/>
      <w:r w:rsidR="00563D2E">
        <w:rPr>
          <w:sz w:val="24"/>
          <w:szCs w:val="24"/>
        </w:rPr>
        <w:t>按包号</w:t>
      </w:r>
      <w:proofErr w:type="gramEnd"/>
      <w:r w:rsidR="00563D2E">
        <w:rPr>
          <w:sz w:val="24"/>
          <w:szCs w:val="24"/>
        </w:rPr>
        <w:t>投标，所有</w:t>
      </w:r>
      <w:r w:rsidR="00563D2E">
        <w:rPr>
          <w:rFonts w:hint="eastAsia"/>
          <w:sz w:val="24"/>
          <w:szCs w:val="24"/>
        </w:rPr>
        <w:t>产品</w:t>
      </w:r>
      <w:r w:rsidR="00563D2E">
        <w:rPr>
          <w:sz w:val="24"/>
          <w:szCs w:val="24"/>
        </w:rPr>
        <w:t>都要响应。</w:t>
      </w:r>
    </w:p>
    <w:p w:rsidR="00FD1C0E" w:rsidRDefault="00B27F4F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付款方式：根据结算数据，签发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个月银行承兑汇票</w:t>
      </w:r>
    </w:p>
    <w:p w:rsidR="00EE2B89" w:rsidRPr="00EE2B89" w:rsidRDefault="00EE2B89" w:rsidP="00EE2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 w:rsidRPr="00EE2B89">
        <w:rPr>
          <w:rFonts w:hint="eastAsia"/>
          <w:sz w:val="24"/>
          <w:szCs w:val="24"/>
        </w:rPr>
        <w:t>采购周期：三年。</w:t>
      </w:r>
    </w:p>
    <w:p w:rsidR="00EE2B89" w:rsidRPr="00EE2B89" w:rsidRDefault="00EE2B89" w:rsidP="00EE2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 w:rsidRPr="00EE2B89">
        <w:rPr>
          <w:rFonts w:hint="eastAsia"/>
          <w:sz w:val="24"/>
          <w:szCs w:val="24"/>
        </w:rPr>
        <w:t>评标办法：综合</w:t>
      </w:r>
      <w:r w:rsidRPr="00EE2B89">
        <w:rPr>
          <w:sz w:val="24"/>
          <w:szCs w:val="24"/>
        </w:rPr>
        <w:t>评分法</w:t>
      </w:r>
      <w:r w:rsidRPr="00EE2B89">
        <w:rPr>
          <w:rFonts w:hint="eastAsia"/>
          <w:sz w:val="24"/>
          <w:szCs w:val="24"/>
        </w:rPr>
        <w:t>，详见</w:t>
      </w:r>
      <w:r w:rsidRPr="00EE2B89">
        <w:rPr>
          <w:sz w:val="24"/>
          <w:szCs w:val="24"/>
        </w:rPr>
        <w:t>评分表</w:t>
      </w:r>
      <w:r w:rsidRPr="00EE2B89">
        <w:rPr>
          <w:rFonts w:hint="eastAsia"/>
          <w:sz w:val="24"/>
          <w:szCs w:val="24"/>
        </w:rPr>
        <w:t>。</w:t>
      </w:r>
    </w:p>
    <w:p w:rsidR="00FD1C0E" w:rsidRPr="0064123A" w:rsidRDefault="00B27F4F" w:rsidP="0064123A">
      <w:pPr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六、投标人的资格要求</w:t>
      </w:r>
    </w:p>
    <w:p w:rsidR="00EE563B" w:rsidRPr="00EE563B" w:rsidRDefault="00B27F4F" w:rsidP="00EE563B">
      <w:pPr>
        <w:rPr>
          <w:sz w:val="24"/>
          <w:szCs w:val="24"/>
        </w:rPr>
      </w:pPr>
      <w:r w:rsidRPr="007D14D5">
        <w:rPr>
          <w:rFonts w:hint="eastAsia"/>
          <w:sz w:val="24"/>
          <w:szCs w:val="24"/>
        </w:rPr>
        <w:t>1</w:t>
      </w:r>
      <w:r w:rsidRPr="007D14D5">
        <w:rPr>
          <w:rFonts w:hint="eastAsia"/>
          <w:sz w:val="24"/>
          <w:szCs w:val="24"/>
        </w:rPr>
        <w:t>、</w:t>
      </w:r>
      <w:r w:rsidR="00EE563B" w:rsidRPr="00EE563B">
        <w:rPr>
          <w:rFonts w:hint="eastAsia"/>
          <w:sz w:val="24"/>
          <w:szCs w:val="24"/>
        </w:rPr>
        <w:t>所投耗材</w:t>
      </w:r>
      <w:r w:rsidR="00390663">
        <w:rPr>
          <w:rFonts w:hint="eastAsia"/>
          <w:sz w:val="24"/>
          <w:szCs w:val="24"/>
        </w:rPr>
        <w:t>试剂</w:t>
      </w:r>
      <w:r w:rsidR="00EE563B" w:rsidRPr="00EE563B">
        <w:rPr>
          <w:rFonts w:hint="eastAsia"/>
          <w:sz w:val="24"/>
          <w:szCs w:val="24"/>
        </w:rPr>
        <w:t>生产或经营纳入行政管理的，供应商须具有相应的生产和经营许可证（如医疗器械生产或</w:t>
      </w:r>
      <w:r w:rsidR="00EE563B">
        <w:rPr>
          <w:rFonts w:hint="eastAsia"/>
          <w:sz w:val="24"/>
          <w:szCs w:val="24"/>
        </w:rPr>
        <w:t>经营备案凭证、医疗器械生产或经营许可证、生产企业卫生许可证等）</w:t>
      </w:r>
    </w:p>
    <w:p w:rsidR="00FD1C0E" w:rsidRPr="00EE563B" w:rsidRDefault="00EE563B" w:rsidP="00EE563B">
      <w:pPr>
        <w:rPr>
          <w:sz w:val="24"/>
          <w:szCs w:val="24"/>
        </w:rPr>
      </w:pPr>
      <w:r w:rsidRPr="00EE563B">
        <w:rPr>
          <w:sz w:val="24"/>
          <w:szCs w:val="24"/>
        </w:rPr>
        <w:t>2</w:t>
      </w:r>
      <w:r w:rsidRPr="00EE563B">
        <w:rPr>
          <w:rFonts w:hint="eastAsia"/>
          <w:sz w:val="24"/>
          <w:szCs w:val="24"/>
        </w:rPr>
        <w:t>、所投</w:t>
      </w:r>
      <w:r w:rsidR="00390663" w:rsidRPr="00EE563B">
        <w:rPr>
          <w:rFonts w:hint="eastAsia"/>
          <w:sz w:val="24"/>
          <w:szCs w:val="24"/>
        </w:rPr>
        <w:t>耗材</w:t>
      </w:r>
      <w:r w:rsidR="00390663">
        <w:rPr>
          <w:rFonts w:hint="eastAsia"/>
          <w:sz w:val="24"/>
          <w:szCs w:val="24"/>
        </w:rPr>
        <w:t>试剂</w:t>
      </w:r>
      <w:r w:rsidR="00207AAA">
        <w:rPr>
          <w:rFonts w:hint="eastAsia"/>
          <w:sz w:val="24"/>
          <w:szCs w:val="24"/>
        </w:rPr>
        <w:t>纳入行政管理的，</w:t>
      </w:r>
      <w:r w:rsidRPr="00EE563B">
        <w:rPr>
          <w:rFonts w:hint="eastAsia"/>
          <w:sz w:val="24"/>
          <w:szCs w:val="24"/>
        </w:rPr>
        <w:t>须具有相应的备案凭证或注册证（如医疗器械备案凭证、医疗器械注册证、卫生许可批件、消毒产品安全性评价报告等）</w:t>
      </w:r>
      <w:r w:rsidR="00B27F4F" w:rsidRPr="00EE563B">
        <w:rPr>
          <w:sz w:val="24"/>
          <w:szCs w:val="24"/>
        </w:rPr>
        <w:t xml:space="preserve"> 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27F4F">
        <w:rPr>
          <w:rFonts w:hint="eastAsia"/>
          <w:sz w:val="24"/>
          <w:szCs w:val="24"/>
        </w:rPr>
        <w:t>、法定代表人身份证明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27F4F">
        <w:rPr>
          <w:rFonts w:hint="eastAsia"/>
          <w:sz w:val="24"/>
          <w:szCs w:val="24"/>
        </w:rPr>
        <w:t>、法定代表人授权委托书（如有）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七、其它要求</w:t>
      </w:r>
    </w:p>
    <w:p w:rsidR="00FD1C0E" w:rsidRDefault="00B27F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、耗材</w:t>
      </w:r>
      <w:r w:rsidR="00DA43A5">
        <w:rPr>
          <w:rFonts w:hint="eastAsia"/>
          <w:sz w:val="24"/>
          <w:szCs w:val="24"/>
        </w:rPr>
        <w:t>试剂</w:t>
      </w:r>
      <w:r>
        <w:rPr>
          <w:rFonts w:hint="eastAsia"/>
          <w:sz w:val="24"/>
          <w:szCs w:val="24"/>
        </w:rPr>
        <w:t>在合同执行期间，如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保局</w:t>
      </w:r>
      <w:proofErr w:type="gramStart"/>
      <w:r>
        <w:rPr>
          <w:rFonts w:hint="eastAsia"/>
          <w:sz w:val="24"/>
          <w:szCs w:val="24"/>
        </w:rPr>
        <w:t>或发改委</w:t>
      </w:r>
      <w:proofErr w:type="gramEnd"/>
      <w:r>
        <w:rPr>
          <w:rFonts w:hint="eastAsia"/>
          <w:sz w:val="24"/>
          <w:szCs w:val="24"/>
        </w:rPr>
        <w:t>或物价局或</w:t>
      </w:r>
      <w:proofErr w:type="gramStart"/>
      <w:r>
        <w:rPr>
          <w:rFonts w:hint="eastAsia"/>
          <w:sz w:val="24"/>
          <w:szCs w:val="24"/>
        </w:rPr>
        <w:t>卫健委等</w:t>
      </w:r>
      <w:proofErr w:type="gramEnd"/>
      <w:r>
        <w:rPr>
          <w:rFonts w:hint="eastAsia"/>
          <w:sz w:val="24"/>
          <w:szCs w:val="24"/>
        </w:rPr>
        <w:t>行政部门正式文件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政策性调整或重新进行遴选时，按照调整后或重新遴选后的相关规定进行供货。</w:t>
      </w:r>
    </w:p>
    <w:p w:rsidR="00FD1C0E" w:rsidRDefault="00B27F4F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、中选耗材</w:t>
      </w:r>
      <w:r w:rsidR="00F06524">
        <w:rPr>
          <w:rFonts w:hint="eastAsia"/>
          <w:sz w:val="24"/>
          <w:szCs w:val="24"/>
        </w:rPr>
        <w:t>试剂</w:t>
      </w:r>
      <w:r>
        <w:rPr>
          <w:rFonts w:hint="eastAsia"/>
          <w:sz w:val="24"/>
          <w:szCs w:val="24"/>
        </w:rPr>
        <w:t>的商家</w:t>
      </w:r>
      <w:r>
        <w:rPr>
          <w:rFonts w:hint="eastAsia"/>
          <w:sz w:val="24"/>
        </w:rPr>
        <w:t>无条件配合院方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等信息化管理工作，所有耗材由我院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运营团队整体配送，需向运营团队缴纳销售金额的</w:t>
      </w:r>
      <w:r>
        <w:rPr>
          <w:rFonts w:hint="eastAsia"/>
          <w:sz w:val="24"/>
        </w:rPr>
        <w:t>2.7%</w:t>
      </w:r>
      <w:r w:rsidR="00F06524">
        <w:rPr>
          <w:rFonts w:hint="eastAsia"/>
          <w:sz w:val="24"/>
        </w:rPr>
        <w:t>（低值）、</w:t>
      </w:r>
      <w:r>
        <w:rPr>
          <w:rFonts w:hint="eastAsia"/>
          <w:sz w:val="24"/>
        </w:rPr>
        <w:t>2.8%</w:t>
      </w:r>
      <w:r w:rsidR="000D23B3">
        <w:rPr>
          <w:rFonts w:hint="eastAsia"/>
          <w:sz w:val="24"/>
        </w:rPr>
        <w:t>（试剂）的服务费，集中带量采购耗材不收取服务费</w:t>
      </w:r>
      <w:r>
        <w:rPr>
          <w:rFonts w:hint="eastAsia"/>
          <w:sz w:val="24"/>
        </w:rPr>
        <w:t>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、未在院内使用过的产品，需提供三家医院的使用凭证。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、投标人所投产品，提供生产厂商（制造商）或经销商或代理商出具的针对本项目的授权书。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、发布入围通知单后十个工作日内到浏阳市人民医院设备器材部</w:t>
      </w:r>
      <w:proofErr w:type="gramStart"/>
      <w:r>
        <w:rPr>
          <w:rFonts w:hint="eastAsia"/>
          <w:sz w:val="24"/>
          <w:szCs w:val="24"/>
        </w:rPr>
        <w:t>耗材办</w:t>
      </w:r>
      <w:proofErr w:type="gramEnd"/>
      <w:r>
        <w:rPr>
          <w:rFonts w:hint="eastAsia"/>
          <w:sz w:val="24"/>
          <w:szCs w:val="24"/>
        </w:rPr>
        <w:t>办理入围耗材的网上配送工作，如无入围耗材的网上</w:t>
      </w:r>
      <w:proofErr w:type="gramStart"/>
      <w:r>
        <w:rPr>
          <w:rFonts w:hint="eastAsia"/>
          <w:sz w:val="24"/>
          <w:szCs w:val="24"/>
        </w:rPr>
        <w:t>配送权</w:t>
      </w:r>
      <w:proofErr w:type="gramEnd"/>
      <w:r>
        <w:rPr>
          <w:rFonts w:hint="eastAsia"/>
          <w:sz w:val="24"/>
          <w:szCs w:val="24"/>
        </w:rPr>
        <w:t>则取消入围资格。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B34999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 w:rsidR="00B1643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。</w:t>
      </w:r>
    </w:p>
    <w:p w:rsidR="00FD1C0E" w:rsidRDefault="00B27F4F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九、投标报名截止时间、开标时间及地点：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50847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投标报名截止及开标时</w:t>
      </w:r>
      <w:r w:rsidRPr="000237F1">
        <w:rPr>
          <w:rFonts w:hint="eastAsia"/>
          <w:sz w:val="24"/>
          <w:szCs w:val="24"/>
        </w:rPr>
        <w:t>间：</w:t>
      </w:r>
      <w:r w:rsidR="003B59FB" w:rsidRPr="000237F1">
        <w:rPr>
          <w:rFonts w:hint="eastAsia"/>
          <w:sz w:val="24"/>
          <w:szCs w:val="24"/>
        </w:rPr>
        <w:t>202</w:t>
      </w:r>
      <w:r w:rsidR="00386C16" w:rsidRPr="000237F1">
        <w:rPr>
          <w:sz w:val="24"/>
          <w:szCs w:val="24"/>
        </w:rPr>
        <w:t>6</w:t>
      </w:r>
      <w:r w:rsidR="003B59FB" w:rsidRPr="000237F1">
        <w:rPr>
          <w:rFonts w:hint="eastAsia"/>
          <w:sz w:val="24"/>
          <w:szCs w:val="24"/>
        </w:rPr>
        <w:t>年</w:t>
      </w:r>
      <w:r w:rsidR="00386C16" w:rsidRPr="000237F1">
        <w:rPr>
          <w:sz w:val="24"/>
          <w:szCs w:val="24"/>
        </w:rPr>
        <w:t>4</w:t>
      </w:r>
      <w:r w:rsidR="003B59FB" w:rsidRPr="000237F1">
        <w:rPr>
          <w:rFonts w:hint="eastAsia"/>
          <w:sz w:val="24"/>
          <w:szCs w:val="24"/>
        </w:rPr>
        <w:t>月</w:t>
      </w:r>
      <w:r w:rsidR="008B5831">
        <w:rPr>
          <w:sz w:val="24"/>
          <w:szCs w:val="24"/>
        </w:rPr>
        <w:t>23</w:t>
      </w:r>
      <w:r w:rsidR="003B59FB" w:rsidRPr="000237F1">
        <w:rPr>
          <w:rFonts w:hint="eastAsia"/>
          <w:sz w:val="24"/>
          <w:szCs w:val="24"/>
        </w:rPr>
        <w:t>日上午</w:t>
      </w:r>
      <w:r w:rsidR="003B59FB" w:rsidRPr="000237F1">
        <w:rPr>
          <w:rFonts w:hint="eastAsia"/>
          <w:sz w:val="24"/>
          <w:szCs w:val="24"/>
        </w:rPr>
        <w:t>9:00</w:t>
      </w:r>
      <w:r w:rsidR="003B59FB" w:rsidRPr="000237F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超过报名时间的投标单位将被拒绝。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张女士：</w:t>
      </w:r>
      <w:r w:rsidR="000F7765">
        <w:rPr>
          <w:sz w:val="24"/>
          <w:szCs w:val="24"/>
        </w:rPr>
        <w:t>17708431023</w:t>
      </w:r>
    </w:p>
    <w:p w:rsidR="00FD1C0E" w:rsidRDefault="00B27F4F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FD1C0E" w:rsidRDefault="00B27F4F">
      <w:pPr>
        <w:spacing w:line="440" w:lineRule="exact"/>
        <w:ind w:right="12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A449D0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0237F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8B5831">
        <w:rPr>
          <w:sz w:val="24"/>
          <w:szCs w:val="24"/>
        </w:rPr>
        <w:t>1</w:t>
      </w:r>
      <w:r w:rsidR="00016508">
        <w:rPr>
          <w:sz w:val="24"/>
          <w:szCs w:val="24"/>
        </w:rPr>
        <w:t>6</w:t>
      </w:r>
    </w:p>
    <w:p w:rsidR="00FD1C0E" w:rsidRDefault="00FD1C0E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9C4825" w:rsidRDefault="009C4825">
      <w:pPr>
        <w:spacing w:line="440" w:lineRule="exact"/>
        <w:rPr>
          <w:rFonts w:ascii="宋体" w:hAnsi="宋体"/>
          <w:b/>
          <w:sz w:val="28"/>
          <w:szCs w:val="24"/>
        </w:rPr>
        <w:sectPr w:rsidR="009C4825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832E43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综合</w:t>
      </w:r>
      <w:r>
        <w:rPr>
          <w:rFonts w:ascii="宋体" w:hAnsi="宋体"/>
          <w:b/>
          <w:sz w:val="28"/>
          <w:szCs w:val="24"/>
        </w:rPr>
        <w:t>评分表：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3295"/>
        <w:gridCol w:w="2365"/>
        <w:gridCol w:w="593"/>
      </w:tblGrid>
      <w:tr w:rsidR="00AB4B12" w:rsidRPr="006F6D2C" w:rsidTr="00583C4F">
        <w:trPr>
          <w:cantSplit/>
          <w:trHeight w:val="591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综合评分法评审规则</w:t>
            </w:r>
          </w:p>
        </w:tc>
      </w:tr>
      <w:tr w:rsidR="00AB4B12" w:rsidRPr="006F6D2C" w:rsidTr="00583C4F">
        <w:trPr>
          <w:cantSplit/>
          <w:trHeight w:val="56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评分权重配置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评审项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所占权重(%)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报价部分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0.50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商务</w:t>
            </w: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服务</w:t>
            </w: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0.20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20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技术部分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0.30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30</w:t>
            </w:r>
          </w:p>
        </w:tc>
      </w:tr>
      <w:tr w:rsidR="00AB4B12" w:rsidRPr="006F6D2C" w:rsidTr="00583C4F">
        <w:trPr>
          <w:cantSplit/>
          <w:trHeight w:val="47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zCs w:val="20"/>
              </w:rPr>
              <w:t>报价部分</w:t>
            </w:r>
          </w:p>
        </w:tc>
      </w:tr>
      <w:tr w:rsidR="00AB4B12" w:rsidRPr="006F6D2C" w:rsidTr="00583C4F">
        <w:trPr>
          <w:cantSplit/>
          <w:trHeight w:val="425"/>
          <w:jc w:val="center"/>
        </w:trPr>
        <w:tc>
          <w:tcPr>
            <w:tcW w:w="988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计分因素</w:t>
            </w:r>
          </w:p>
        </w:tc>
        <w:tc>
          <w:tcPr>
            <w:tcW w:w="1559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评分</w:t>
            </w:r>
          </w:p>
        </w:tc>
      </w:tr>
      <w:tr w:rsidR="00AB4B12" w:rsidRPr="006F6D2C" w:rsidTr="00583C4F">
        <w:trPr>
          <w:cantSplit/>
          <w:trHeight w:val="1901"/>
          <w:jc w:val="center"/>
        </w:trPr>
        <w:tc>
          <w:tcPr>
            <w:tcW w:w="988" w:type="dxa"/>
            <w:noWrap/>
            <w:vAlign w:val="center"/>
          </w:tcPr>
          <w:p w:rsidR="00AB4B12" w:rsidRPr="006F6D2C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515F2A">
              <w:rPr>
                <w:rFonts w:ascii="仿宋" w:eastAsia="仿宋" w:hAnsi="仿宋" w:cs="仿宋" w:hint="eastAsia"/>
              </w:rPr>
              <w:t>价格部分50</w:t>
            </w:r>
          </w:p>
        </w:tc>
        <w:tc>
          <w:tcPr>
            <w:tcW w:w="1559" w:type="dxa"/>
            <w:noWrap/>
            <w:vAlign w:val="center"/>
          </w:tcPr>
          <w:p w:rsidR="00AB4B12" w:rsidRPr="006F6D2C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6F6D2C" w:rsidRDefault="00AB4B12" w:rsidP="00583C4F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4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采用低价优先法计算，即满足遴选文件要求且折扣最低的报价为评审基准价，其价格分为满分。其他合格供应商的价格</w:t>
            </w:r>
            <w:proofErr w:type="gramStart"/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分统一</w:t>
            </w:r>
            <w:proofErr w:type="gramEnd"/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 xml:space="preserve">按照下列公式计算：      </w:t>
            </w:r>
          </w:p>
          <w:p w:rsidR="00AB4B12" w:rsidRPr="006F6D2C" w:rsidRDefault="00AB4B12" w:rsidP="00583C4F">
            <w:pPr>
              <w:pStyle w:val="TableText"/>
              <w:rPr>
                <w:rFonts w:ascii="仿宋" w:eastAsia="仿宋" w:hAnsi="仿宋" w:cs="仿宋"/>
                <w:color w:val="000000" w:themeColor="text1"/>
                <w:sz w:val="21"/>
                <w:szCs w:val="21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  <w:lang w:eastAsia="zh-CN"/>
              </w:rPr>
              <w:t>报价得分=（评审基准折扣/折扣）×50</w:t>
            </w:r>
          </w:p>
          <w:p w:rsidR="00AB4B12" w:rsidRPr="006F6D2C" w:rsidRDefault="00AB4B12" w:rsidP="00583C4F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Cs w:val="22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说明：供应商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A投标折扣80%，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B投标折扣85%，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C投标折扣90%，共三名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则评标基准价为80%，各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报价得分分别为：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A=（80%/80%）*60=60分，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B=（80%/85%）*60=56.47分，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C=（80%/90%）*60=53.33分）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z w:val="21"/>
                <w:szCs w:val="24"/>
                <w:lang w:eastAsia="zh-CN"/>
              </w:rPr>
              <w:t xml:space="preserve"> 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商务部分</w:t>
            </w: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商务部分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pStyle w:val="af"/>
              <w:widowControl/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同类项目业绩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</w:rPr>
              <w:t>（6分）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提供近三年内（以合同签订时间为准）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三级甲等医院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同类病理专机专用试剂销售合同。每份有效合同得2分，本项最高6分。（投标文件中需提供合同关键页复印件，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含合同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双方、标的、金额、签字盖章页）。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履约信誉与保障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（4分）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供应商无违法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违规及不良信用记录（以“信用中国”等网站查询为准，提供承诺函）（2分）。针对本项目提供可靠的供货周期、库存及运输保障方案（2分）。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lastRenderedPageBreak/>
              <w:t>服务部分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售后服务承诺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（6分）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 xml:space="preserve">1. 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响应时效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：提供7×24小时服务热线，明确现场应急响应时间（如≤4小时），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优得3分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良得2分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，一般得1分。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br/>
              <w:t xml:space="preserve">2. 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服务内容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：提供明确的保修期、定期巡检、设备保养支持、免费技术咨询等服务承诺，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优得3分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良得2分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，一般得1分。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917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售后服务体系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（4分）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numPr>
                <w:ilvl w:val="255"/>
                <w:numId w:val="0"/>
              </w:numPr>
              <w:autoSpaceDE w:val="0"/>
              <w:autoSpaceDN w:val="0"/>
              <w:spacing w:after="120"/>
              <w:rPr>
                <w:rFonts w:ascii="仿宋" w:eastAsia="仿宋" w:hAnsi="仿宋" w:cs="仿宋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供应商在本市或周边地区设有常驻技术支持人员或服务中心（提供证明），能确保服务及时性的，得4分；仅有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远程支持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或外地支持的，得1-2分。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技术部分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988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计分因素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</w:t>
            </w: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技术部分30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产品匹配性与核心参数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（12分）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对招标文件要求的试剂与指定设备机型的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兼容性、专机专用符合程度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，以及关键性能参数（如灵敏度、特异性、线性范围、开瓶稳定性等）进行响应和证明。完全满足或优于得9-12分，基本满足得5-8分，有部分不满足或证明不充分得0-4分。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质量体系与认证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（10分）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pStyle w:val="af"/>
              <w:widowControl/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1. 所投试剂具备合法、有效的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NMPA医疗器械注册证/备案凭证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（4分）。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br/>
              <w:t>2. 生产厂商具备有效的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ISO 13485</w:t>
            </w:r>
            <w:r w:rsidRPr="00515F2A">
              <w:rPr>
                <w:rFonts w:ascii="MS Mincho" w:eastAsia="MS Mincho" w:hAnsi="MS Mincho" w:cs="MS Mincho" w:hint="eastAsia"/>
                <w:color w:val="000000" w:themeColor="text1"/>
                <w:kern w:val="2"/>
                <w:sz w:val="21"/>
              </w:rPr>
              <w:t>​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 xml:space="preserve"> 或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GMP</w:t>
            </w:r>
            <w:r w:rsidRPr="00515F2A">
              <w:rPr>
                <w:rFonts w:ascii="MS Mincho" w:eastAsia="MS Mincho" w:hAnsi="MS Mincho" w:cs="MS Mincho" w:hint="eastAsia"/>
                <w:color w:val="000000" w:themeColor="text1"/>
                <w:kern w:val="2"/>
                <w:sz w:val="21"/>
              </w:rPr>
              <w:t>​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 xml:space="preserve"> 质量管理体系认证（3分）。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br/>
              <w:t>3. 提供所投产品的溯源性文件及近期官方/第三方权威机构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质检报告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（3分）。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技术方案与技术支持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（8分）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针对本项目的供货、验收、现场技术配合方案完善可行（4分）；提供详细的操作培训、质量控制应用培训计划（4分）。方案详实可行得6-8分，较详实得3-5分，简单笼统得0-2分。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</w:tbl>
    <w:p w:rsidR="00D50ABC" w:rsidRPr="00AB4B12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P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FD1C0E" w:rsidRDefault="00B27F4F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附件</w:t>
      </w:r>
      <w:r w:rsidR="00B1643D">
        <w:rPr>
          <w:rFonts w:ascii="宋体" w:hAnsi="宋体"/>
          <w:b/>
          <w:sz w:val="28"/>
          <w:szCs w:val="24"/>
        </w:rPr>
        <w:t>:2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FD1C0E" w:rsidRDefault="00B27F4F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FD1C0E" w:rsidRDefault="00B27F4F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B27F4F">
      <w:pPr>
        <w:pStyle w:val="a4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FD1C0E" w:rsidRDefault="00B27F4F">
      <w:pPr>
        <w:pStyle w:val="a4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:rsidR="00FD1C0E" w:rsidRDefault="00FD1C0E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B27F4F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FD1C0E" w:rsidRDefault="00B27F4F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投标人须提供“医疗器械经营许可证”或“医疗器械经营备案凭证”、产品制造商的“医疗器械生产企业许可证”</w:t>
      </w:r>
      <w:r w:rsidR="00FB55A6" w:rsidRPr="00FB55A6">
        <w:rPr>
          <w:rFonts w:ascii="宋体" w:hAnsi="宋体" w:cs="仿宋" w:hint="eastAsia"/>
          <w:sz w:val="24"/>
        </w:rPr>
        <w:t xml:space="preserve"> </w:t>
      </w:r>
      <w:r w:rsidR="00FB55A6">
        <w:rPr>
          <w:rFonts w:ascii="宋体" w:hAnsi="宋体" w:cs="仿宋" w:hint="eastAsia"/>
          <w:sz w:val="24"/>
        </w:rPr>
        <w:t>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</w:t>
      </w:r>
      <w:r>
        <w:rPr>
          <w:rFonts w:ascii="宋体" w:hAnsi="宋体" w:cs="仿宋"/>
          <w:sz w:val="24"/>
        </w:rPr>
        <w:t xml:space="preserve"> </w:t>
      </w:r>
    </w:p>
    <w:p w:rsidR="00FD1C0E" w:rsidRDefault="00B27F4F">
      <w:pPr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</w:t>
      </w:r>
      <w:r>
        <w:rPr>
          <w:rFonts w:ascii="宋体" w:hAnsi="宋体" w:cs="仿宋"/>
          <w:sz w:val="24"/>
        </w:rPr>
        <w:t>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生产厂商（制造商）或经销商或代理商出具的针对本项目的授权书。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供应商认为需要提供的其它资料。</w:t>
      </w: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FD1C0E" w:rsidRDefault="00B27F4F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FD1C0E" w:rsidRDefault="00FD1C0E">
      <w:pPr>
        <w:spacing w:line="360" w:lineRule="auto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FD1C0E" w:rsidRDefault="00B27F4F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FD1C0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FD1C0E" w:rsidRDefault="00FD1C0E">
      <w:pPr>
        <w:spacing w:line="360" w:lineRule="auto"/>
        <w:ind w:right="420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FD1C0E" w:rsidRDefault="00B27F4F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FD1C0E" w:rsidRDefault="00B27F4F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FD1C0E" w:rsidRDefault="00B27F4F">
      <w:pPr>
        <w:spacing w:line="360" w:lineRule="auto"/>
        <w:jc w:val="center"/>
        <w:rPr>
          <w:rFonts w:ascii="黑体" w:eastAsia="黑体" w:hAnsi="宋体" w:cs="微软雅黑"/>
          <w:b/>
          <w:position w:val="-3"/>
          <w:sz w:val="28"/>
          <w:szCs w:val="28"/>
        </w:rPr>
      </w:pPr>
      <w:r>
        <w:rPr>
          <w:rFonts w:ascii="黑体" w:eastAsia="黑体" w:hAnsi="宋体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产品注册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备案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77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产地（国产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进口）</w:t>
            </w:r>
          </w:p>
        </w:tc>
        <w:tc>
          <w:tcPr>
            <w:tcW w:w="265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遴选预算单价限价</w:t>
            </w:r>
          </w:p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折扣率（</w:t>
            </w:r>
            <w:r>
              <w:rPr>
                <w:rFonts w:ascii="宋体" w:hint="eastAsia"/>
              </w:rPr>
              <w:t>%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292" w:type="pct"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挂网编码</w:t>
            </w: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</w:tbl>
    <w:p w:rsidR="00FD1C0E" w:rsidRDefault="00FD1C0E">
      <w:pPr>
        <w:pStyle w:val="1"/>
      </w:pPr>
    </w:p>
    <w:p w:rsidR="00FD1C0E" w:rsidRDefault="00B27F4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填写此表：</w:t>
      </w:r>
    </w:p>
    <w:p w:rsidR="00FD1C0E" w:rsidRDefault="00B27F4F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注：★</w:t>
      </w:r>
      <w:r>
        <w:rPr>
          <w:rFonts w:ascii="宋体" w:hAnsi="宋体" w:hint="eastAsia"/>
          <w:b/>
          <w:sz w:val="24"/>
          <w:szCs w:val="24"/>
          <w:lang w:val="de-DE"/>
        </w:rPr>
        <w:t>所投产品必须在湖南省阳光采购平台挂网或长沙市</w:t>
      </w:r>
      <w:proofErr w:type="gramStart"/>
      <w:r>
        <w:rPr>
          <w:rFonts w:ascii="宋体" w:hAnsi="宋体" w:hint="eastAsia"/>
          <w:b/>
          <w:sz w:val="24"/>
          <w:szCs w:val="24"/>
          <w:lang w:val="de-DE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  <w:lang w:val="de-DE"/>
        </w:rPr>
        <w:t>保部门指定平台挂网（备案），</w:t>
      </w:r>
      <w:r>
        <w:rPr>
          <w:rFonts w:ascii="宋体" w:hAnsi="宋体" w:hint="eastAsia"/>
          <w:b/>
          <w:sz w:val="24"/>
          <w:szCs w:val="24"/>
        </w:rPr>
        <w:t>并</w:t>
      </w:r>
      <w:r>
        <w:rPr>
          <w:rFonts w:ascii="宋体" w:hAnsi="宋体"/>
          <w:b/>
          <w:bCs/>
          <w:sz w:val="24"/>
          <w:szCs w:val="24"/>
        </w:rPr>
        <w:t>提供</w:t>
      </w:r>
      <w:r>
        <w:rPr>
          <w:rFonts w:ascii="宋体" w:hAnsi="宋体" w:hint="eastAsia"/>
          <w:b/>
          <w:bCs/>
          <w:sz w:val="24"/>
          <w:szCs w:val="24"/>
        </w:rPr>
        <w:t>相应产品的</w:t>
      </w:r>
      <w:r>
        <w:rPr>
          <w:rFonts w:ascii="宋体" w:hAnsi="宋体"/>
          <w:b/>
          <w:bCs/>
          <w:sz w:val="24"/>
          <w:szCs w:val="24"/>
        </w:rPr>
        <w:t>挂网编</w:t>
      </w: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FD1C0E" w:rsidRDefault="00B27F4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B27F4F">
      <w:pPr>
        <w:widowControl w:val="0"/>
        <w:numPr>
          <w:ilvl w:val="0"/>
          <w:numId w:val="5"/>
        </w:numPr>
        <w:adjustRightInd/>
        <w:snapToGrid/>
        <w:spacing w:after="0" w:line="6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 w:cs="仿宋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投标人所投产品的生产厂商（制造商）或经销商或代理商出具的针对本项目的授权书。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B27F4F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八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FD1C0E" w:rsidRDefault="00FD1C0E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sectPr w:rsidR="00FD1C0E" w:rsidSect="008E0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25" w:rsidRDefault="00200325">
      <w:pPr>
        <w:spacing w:after="0"/>
      </w:pPr>
      <w:r>
        <w:separator/>
      </w:r>
    </w:p>
  </w:endnote>
  <w:endnote w:type="continuationSeparator" w:id="0">
    <w:p w:rsidR="00200325" w:rsidRDefault="00200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25" w:rsidRDefault="00200325">
      <w:pPr>
        <w:spacing w:after="0"/>
      </w:pPr>
      <w:r>
        <w:separator/>
      </w:r>
    </w:p>
  </w:footnote>
  <w:footnote w:type="continuationSeparator" w:id="0">
    <w:p w:rsidR="00200325" w:rsidRDefault="00200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DF" w:rsidRDefault="007C55D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Pr="001172BF">
      <w:rPr>
        <w:rFonts w:ascii="黑体" w:eastAsia="黑体" w:hAnsi="黑体" w:cs="黑体"/>
        <w:sz w:val="24"/>
        <w:szCs w:val="44"/>
      </w:rPr>
      <w:t>KJ.2026.ZW</w:t>
    </w:r>
    <w:proofErr w:type="gramEnd"/>
    <w:r w:rsidRPr="001172BF">
      <w:rPr>
        <w:rFonts w:ascii="黑体" w:eastAsia="黑体" w:hAnsi="黑体" w:cs="黑体"/>
        <w:sz w:val="24"/>
        <w:szCs w:val="44"/>
      </w:rPr>
      <w:t>.CG-D-2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B376BDA"/>
    <w:multiLevelType w:val="hybridMultilevel"/>
    <w:tmpl w:val="C7441890"/>
    <w:lvl w:ilvl="0" w:tplc="B636E2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3B64CF"/>
    <w:multiLevelType w:val="hybridMultilevel"/>
    <w:tmpl w:val="98D6C894"/>
    <w:lvl w:ilvl="0" w:tplc="74E4CA5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16508"/>
    <w:rsid w:val="000237F1"/>
    <w:rsid w:val="00036AFC"/>
    <w:rsid w:val="00041060"/>
    <w:rsid w:val="00057519"/>
    <w:rsid w:val="00057868"/>
    <w:rsid w:val="00076E14"/>
    <w:rsid w:val="00084029"/>
    <w:rsid w:val="00093DA9"/>
    <w:rsid w:val="000A044A"/>
    <w:rsid w:val="000B0782"/>
    <w:rsid w:val="000B5D04"/>
    <w:rsid w:val="000C3992"/>
    <w:rsid w:val="000D23B3"/>
    <w:rsid w:val="000E5541"/>
    <w:rsid w:val="000F67EE"/>
    <w:rsid w:val="000F7765"/>
    <w:rsid w:val="00110622"/>
    <w:rsid w:val="001172BF"/>
    <w:rsid w:val="00132D6A"/>
    <w:rsid w:val="001501A4"/>
    <w:rsid w:val="00165E5C"/>
    <w:rsid w:val="00191151"/>
    <w:rsid w:val="001A02F7"/>
    <w:rsid w:val="001A2219"/>
    <w:rsid w:val="001A4806"/>
    <w:rsid w:val="001A53D8"/>
    <w:rsid w:val="001C1D5C"/>
    <w:rsid w:val="001D0852"/>
    <w:rsid w:val="001D3005"/>
    <w:rsid w:val="001D34D9"/>
    <w:rsid w:val="001E697C"/>
    <w:rsid w:val="001F3717"/>
    <w:rsid w:val="001F7BB5"/>
    <w:rsid w:val="00200325"/>
    <w:rsid w:val="00207AAA"/>
    <w:rsid w:val="00232DFE"/>
    <w:rsid w:val="0025164C"/>
    <w:rsid w:val="00252690"/>
    <w:rsid w:val="00272166"/>
    <w:rsid w:val="00277509"/>
    <w:rsid w:val="002968F0"/>
    <w:rsid w:val="002A3CE9"/>
    <w:rsid w:val="002B3D9B"/>
    <w:rsid w:val="002C5B5B"/>
    <w:rsid w:val="002D1D12"/>
    <w:rsid w:val="002D2A5E"/>
    <w:rsid w:val="002E18C9"/>
    <w:rsid w:val="002E5AE6"/>
    <w:rsid w:val="00300E71"/>
    <w:rsid w:val="00305694"/>
    <w:rsid w:val="00315902"/>
    <w:rsid w:val="003162A6"/>
    <w:rsid w:val="00345237"/>
    <w:rsid w:val="00347F04"/>
    <w:rsid w:val="00352513"/>
    <w:rsid w:val="003705CC"/>
    <w:rsid w:val="00386C16"/>
    <w:rsid w:val="00390663"/>
    <w:rsid w:val="00392C4D"/>
    <w:rsid w:val="0039778C"/>
    <w:rsid w:val="003A0504"/>
    <w:rsid w:val="003B0A66"/>
    <w:rsid w:val="003B59FB"/>
    <w:rsid w:val="003D25B2"/>
    <w:rsid w:val="003E091C"/>
    <w:rsid w:val="003E1472"/>
    <w:rsid w:val="003E1FE0"/>
    <w:rsid w:val="003E6E83"/>
    <w:rsid w:val="003F4819"/>
    <w:rsid w:val="00401511"/>
    <w:rsid w:val="00404482"/>
    <w:rsid w:val="00406C47"/>
    <w:rsid w:val="0041220F"/>
    <w:rsid w:val="00413F49"/>
    <w:rsid w:val="00415539"/>
    <w:rsid w:val="00420EEA"/>
    <w:rsid w:val="004229DF"/>
    <w:rsid w:val="004324A9"/>
    <w:rsid w:val="004B3CD9"/>
    <w:rsid w:val="004D743A"/>
    <w:rsid w:val="004E78B1"/>
    <w:rsid w:val="004F1396"/>
    <w:rsid w:val="004F4547"/>
    <w:rsid w:val="00511FE4"/>
    <w:rsid w:val="0052163C"/>
    <w:rsid w:val="00533E20"/>
    <w:rsid w:val="005444A9"/>
    <w:rsid w:val="00551982"/>
    <w:rsid w:val="00563D2E"/>
    <w:rsid w:val="005669AF"/>
    <w:rsid w:val="00566E44"/>
    <w:rsid w:val="00582FCC"/>
    <w:rsid w:val="00587B37"/>
    <w:rsid w:val="005C517B"/>
    <w:rsid w:val="005C6D8E"/>
    <w:rsid w:val="005F47AA"/>
    <w:rsid w:val="005F4C83"/>
    <w:rsid w:val="00601DFE"/>
    <w:rsid w:val="00624001"/>
    <w:rsid w:val="00635679"/>
    <w:rsid w:val="0064123A"/>
    <w:rsid w:val="00642322"/>
    <w:rsid w:val="0064262F"/>
    <w:rsid w:val="00672F8D"/>
    <w:rsid w:val="00690F76"/>
    <w:rsid w:val="00695153"/>
    <w:rsid w:val="00696CC8"/>
    <w:rsid w:val="006A329F"/>
    <w:rsid w:val="006A4BC9"/>
    <w:rsid w:val="006D04F8"/>
    <w:rsid w:val="006F18A3"/>
    <w:rsid w:val="00722708"/>
    <w:rsid w:val="00727A45"/>
    <w:rsid w:val="00733CE6"/>
    <w:rsid w:val="007865EF"/>
    <w:rsid w:val="007A183A"/>
    <w:rsid w:val="007C55DF"/>
    <w:rsid w:val="007D14D5"/>
    <w:rsid w:val="007E75BD"/>
    <w:rsid w:val="007F2457"/>
    <w:rsid w:val="0080765D"/>
    <w:rsid w:val="00832E43"/>
    <w:rsid w:val="00834C4E"/>
    <w:rsid w:val="008358C6"/>
    <w:rsid w:val="00841DF7"/>
    <w:rsid w:val="00843199"/>
    <w:rsid w:val="0084363D"/>
    <w:rsid w:val="00843779"/>
    <w:rsid w:val="00844CE9"/>
    <w:rsid w:val="00852EEF"/>
    <w:rsid w:val="00871F2E"/>
    <w:rsid w:val="008940AD"/>
    <w:rsid w:val="00895070"/>
    <w:rsid w:val="008B2C16"/>
    <w:rsid w:val="008B5099"/>
    <w:rsid w:val="008B5831"/>
    <w:rsid w:val="008D694F"/>
    <w:rsid w:val="008E0ED9"/>
    <w:rsid w:val="009046B5"/>
    <w:rsid w:val="0091236C"/>
    <w:rsid w:val="009129AE"/>
    <w:rsid w:val="00924C02"/>
    <w:rsid w:val="00940028"/>
    <w:rsid w:val="00970F18"/>
    <w:rsid w:val="009740CB"/>
    <w:rsid w:val="009A23E5"/>
    <w:rsid w:val="009B05BF"/>
    <w:rsid w:val="009C23D7"/>
    <w:rsid w:val="009C4825"/>
    <w:rsid w:val="009D1BD7"/>
    <w:rsid w:val="00A03262"/>
    <w:rsid w:val="00A12856"/>
    <w:rsid w:val="00A210E2"/>
    <w:rsid w:val="00A2161E"/>
    <w:rsid w:val="00A34770"/>
    <w:rsid w:val="00A428E4"/>
    <w:rsid w:val="00A449D0"/>
    <w:rsid w:val="00A47CF7"/>
    <w:rsid w:val="00A512BA"/>
    <w:rsid w:val="00A66432"/>
    <w:rsid w:val="00A67B83"/>
    <w:rsid w:val="00A70902"/>
    <w:rsid w:val="00A71DBD"/>
    <w:rsid w:val="00A7500B"/>
    <w:rsid w:val="00A96138"/>
    <w:rsid w:val="00AB4B12"/>
    <w:rsid w:val="00AC5E07"/>
    <w:rsid w:val="00AE1EA1"/>
    <w:rsid w:val="00B06E6C"/>
    <w:rsid w:val="00B07E26"/>
    <w:rsid w:val="00B1643D"/>
    <w:rsid w:val="00B27F4F"/>
    <w:rsid w:val="00B30F2C"/>
    <w:rsid w:val="00B34999"/>
    <w:rsid w:val="00B554C7"/>
    <w:rsid w:val="00B6186B"/>
    <w:rsid w:val="00B80429"/>
    <w:rsid w:val="00BA748F"/>
    <w:rsid w:val="00BB62A1"/>
    <w:rsid w:val="00BE34B9"/>
    <w:rsid w:val="00C01BA9"/>
    <w:rsid w:val="00C0392B"/>
    <w:rsid w:val="00C21B01"/>
    <w:rsid w:val="00C3487F"/>
    <w:rsid w:val="00C34DF9"/>
    <w:rsid w:val="00C36A06"/>
    <w:rsid w:val="00C54E26"/>
    <w:rsid w:val="00C55BC0"/>
    <w:rsid w:val="00C70796"/>
    <w:rsid w:val="00C83C72"/>
    <w:rsid w:val="00C87308"/>
    <w:rsid w:val="00C966CB"/>
    <w:rsid w:val="00CA20C1"/>
    <w:rsid w:val="00CA56E3"/>
    <w:rsid w:val="00CD0267"/>
    <w:rsid w:val="00D0233B"/>
    <w:rsid w:val="00D023AF"/>
    <w:rsid w:val="00D026CB"/>
    <w:rsid w:val="00D02BC9"/>
    <w:rsid w:val="00D0556D"/>
    <w:rsid w:val="00D2080D"/>
    <w:rsid w:val="00D42C4B"/>
    <w:rsid w:val="00D50ABC"/>
    <w:rsid w:val="00D608DD"/>
    <w:rsid w:val="00D647B2"/>
    <w:rsid w:val="00D74782"/>
    <w:rsid w:val="00D92B7B"/>
    <w:rsid w:val="00DA43A5"/>
    <w:rsid w:val="00DA4E4A"/>
    <w:rsid w:val="00DE48D4"/>
    <w:rsid w:val="00DF21B4"/>
    <w:rsid w:val="00DF6B67"/>
    <w:rsid w:val="00DF72B7"/>
    <w:rsid w:val="00E154DC"/>
    <w:rsid w:val="00E15E01"/>
    <w:rsid w:val="00E32247"/>
    <w:rsid w:val="00E435D3"/>
    <w:rsid w:val="00E57A4B"/>
    <w:rsid w:val="00E66BFE"/>
    <w:rsid w:val="00E917A7"/>
    <w:rsid w:val="00E92872"/>
    <w:rsid w:val="00E94EA5"/>
    <w:rsid w:val="00EB7F91"/>
    <w:rsid w:val="00ED7935"/>
    <w:rsid w:val="00EE2B89"/>
    <w:rsid w:val="00EE563B"/>
    <w:rsid w:val="00EF656C"/>
    <w:rsid w:val="00F06524"/>
    <w:rsid w:val="00F2722F"/>
    <w:rsid w:val="00F50847"/>
    <w:rsid w:val="00F70536"/>
    <w:rsid w:val="00F93020"/>
    <w:rsid w:val="00F97AA6"/>
    <w:rsid w:val="00FA6CE3"/>
    <w:rsid w:val="00FB55A6"/>
    <w:rsid w:val="00FC2243"/>
    <w:rsid w:val="00FC53AB"/>
    <w:rsid w:val="00FC73E2"/>
    <w:rsid w:val="00FD1C0E"/>
    <w:rsid w:val="00FD548D"/>
    <w:rsid w:val="00FE0C19"/>
    <w:rsid w:val="00FE3EA2"/>
    <w:rsid w:val="00FE643E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94FA1"/>
  <w15:docId w15:val="{87832529-C825-4C2D-A42E-656195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qFormat/>
    <w:rsid w:val="00D50ABC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文字 字符"/>
    <w:basedOn w:val="a0"/>
    <w:link w:val="ac"/>
    <w:qFormat/>
    <w:rsid w:val="00D50ABC"/>
    <w:rPr>
      <w:kern w:val="2"/>
      <w:sz w:val="21"/>
    </w:rPr>
  </w:style>
  <w:style w:type="paragraph" w:styleId="10">
    <w:name w:val="toc 1"/>
    <w:basedOn w:val="a"/>
    <w:next w:val="a"/>
    <w:uiPriority w:val="39"/>
    <w:qFormat/>
    <w:rsid w:val="00D50AB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Strong"/>
    <w:uiPriority w:val="99"/>
    <w:qFormat/>
    <w:rsid w:val="00D50ABC"/>
    <w:rPr>
      <w:rFonts w:cs="Times New Roman"/>
      <w:b/>
    </w:rPr>
  </w:style>
  <w:style w:type="paragraph" w:customStyle="1" w:styleId="TableText">
    <w:name w:val="Table Text"/>
    <w:basedOn w:val="a"/>
    <w:semiHidden/>
    <w:qFormat/>
    <w:rsid w:val="00D50ABC"/>
    <w:pPr>
      <w:widowControl w:val="0"/>
      <w:adjustRightInd/>
      <w:snapToGrid/>
      <w:spacing w:after="0"/>
      <w:jc w:val="both"/>
    </w:pPr>
    <w:rPr>
      <w:rFonts w:ascii="宋体" w:eastAsia="宋体" w:hAnsi="宋体"/>
      <w:kern w:val="2"/>
      <w:sz w:val="20"/>
      <w:szCs w:val="20"/>
      <w:lang w:eastAsia="en-US"/>
    </w:rPr>
  </w:style>
  <w:style w:type="paragraph" w:styleId="af">
    <w:name w:val="Normal (Web)"/>
    <w:basedOn w:val="a"/>
    <w:rsid w:val="00AB4B1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3C0A5-FA0D-483F-B189-7F797943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549</Words>
  <Characters>3132</Characters>
  <Application>Microsoft Office Word</Application>
  <DocSecurity>0</DocSecurity>
  <Lines>26</Lines>
  <Paragraphs>7</Paragraphs>
  <ScaleCrop>false</ScaleCrop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223</cp:revision>
  <dcterms:created xsi:type="dcterms:W3CDTF">2017-10-24T09:15:00Z</dcterms:created>
  <dcterms:modified xsi:type="dcterms:W3CDTF">2026-04-16T06:37:00Z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