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282E52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鼻科动力系统手柄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282E52">
        <w:rPr>
          <w:rFonts w:hint="eastAsia"/>
          <w:sz w:val="24"/>
          <w:szCs w:val="24"/>
        </w:rPr>
        <w:t>鼻科动力系统手柄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282E52">
        <w:rPr>
          <w:sz w:val="24"/>
          <w:szCs w:val="24"/>
        </w:rPr>
        <w:t>220000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A16A9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903385" w:rsidRPr="00FD0666" w:rsidRDefault="00282E52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鼻科动力系统手柄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282E5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282E52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  <w:tc>
          <w:tcPr>
            <w:tcW w:w="1418" w:type="dxa"/>
            <w:vAlign w:val="center"/>
          </w:tcPr>
          <w:p w:rsidR="00903385" w:rsidRPr="00344E47" w:rsidRDefault="00282E52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282E52" w:rsidRPr="00282E52" w:rsidRDefault="00282E52" w:rsidP="00282E52">
      <w:pPr>
        <w:widowControl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b/>
          <w:sz w:val="24"/>
          <w:szCs w:val="24"/>
        </w:rPr>
        <w:t>鼻咽喉吸切手柄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转速：往复最大转速不低于5000RPM，连接鼻科钻头时单向最大转速=12000RPM；最低转速可到60PRM ；扭矩大于90</w:t>
      </w:r>
      <w:r w:rsidRPr="00282E52">
        <w:rPr>
          <w:rFonts w:asciiTheme="majorEastAsia" w:eastAsiaTheme="majorEastAsia" w:hAnsiTheme="majorEastAsia"/>
          <w:sz w:val="24"/>
          <w:szCs w:val="24"/>
        </w:rPr>
        <w:t>mNm</w:t>
      </w:r>
      <w:r w:rsidRPr="00282E52">
        <w:rPr>
          <w:rFonts w:asciiTheme="majorEastAsia" w:eastAsiaTheme="majorEastAsia" w:hAnsiTheme="majorEastAsia" w:hint="eastAsia"/>
          <w:sz w:val="24"/>
          <w:szCs w:val="24"/>
        </w:rPr>
        <w:t xml:space="preserve"> ；可用脚踏开关随意控制转速。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钛金属材质：质量≥240克， 减轻术者的负担，符合人体工程学的设计，便于灵活操作又不妨碍视线。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直排式专利设计：从刀头到吸引排出口为直排式吸引，切割、排出为一直线，克服术中堵塞难题。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握笔式设计，可自由改变方向和方位。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lastRenderedPageBreak/>
        <w:t>能与100余种的刀头及钻头匹配，可以完成鼻部、咽部、喉部及颅底的各种手术和整形科手术。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手柄同电缆可用高温高压及熏蒸的方式消毒。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手柄上的转盘可以控制刀头仅刀口360度旋转（需使用匹配刀头）。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手柄两侧有为固定注水管而设计的凹槽。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手柄颏部有刀头旋转锁定装置。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完全直排式吸引。</w:t>
      </w:r>
    </w:p>
    <w:p w:rsidR="00282E52" w:rsidRPr="00282E52" w:rsidRDefault="00282E52" w:rsidP="00282E52">
      <w:pPr>
        <w:numPr>
          <w:ilvl w:val="0"/>
          <w:numId w:val="8"/>
        </w:numPr>
        <w:tabs>
          <w:tab w:val="left" w:pos="780"/>
        </w:tabs>
        <w:spacing w:line="50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282E52">
        <w:rPr>
          <w:rFonts w:asciiTheme="majorEastAsia" w:eastAsiaTheme="majorEastAsia" w:hAnsiTheme="majorEastAsia" w:hint="eastAsia"/>
          <w:sz w:val="24"/>
          <w:szCs w:val="24"/>
        </w:rPr>
        <w:t>与美敦力动力系统主机适配。</w:t>
      </w:r>
    </w:p>
    <w:p w:rsidR="00FD0666" w:rsidRDefault="00FD0666" w:rsidP="00282E52">
      <w:pPr>
        <w:jc w:val="center"/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7863F3">
        <w:rPr>
          <w:rFonts w:ascii="宋体" w:hAnsi="宋体" w:cs="宋体"/>
          <w:sz w:val="24"/>
          <w:szCs w:val="24"/>
        </w:rPr>
        <w:t>4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F2" w:rsidRDefault="006E13F2">
      <w:r>
        <w:separator/>
      </w:r>
    </w:p>
  </w:endnote>
  <w:endnote w:type="continuationSeparator" w:id="0">
    <w:p w:rsidR="006E13F2" w:rsidRDefault="006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F2" w:rsidRDefault="006E13F2">
      <w:r>
        <w:separator/>
      </w:r>
    </w:p>
  </w:footnote>
  <w:footnote w:type="continuationSeparator" w:id="0">
    <w:p w:rsidR="006E13F2" w:rsidRDefault="006E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282E52"/>
    <w:rsid w:val="003A16A9"/>
    <w:rsid w:val="00441FA1"/>
    <w:rsid w:val="00511BF6"/>
    <w:rsid w:val="005804BB"/>
    <w:rsid w:val="005C7CFF"/>
    <w:rsid w:val="00601B26"/>
    <w:rsid w:val="00640FCF"/>
    <w:rsid w:val="006E13F2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95E9E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2022-10-28T06:51:00Z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