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6918B5" w:rsidP="00903385">
      <w:pPr>
        <w:jc w:val="center"/>
        <w:rPr>
          <w:rFonts w:ascii="黑体" w:eastAsia="黑体" w:hAnsi="黑体"/>
          <w:sz w:val="44"/>
          <w:szCs w:val="44"/>
        </w:rPr>
      </w:pPr>
      <w:r w:rsidRPr="006918B5">
        <w:rPr>
          <w:rFonts w:ascii="黑体" w:eastAsia="黑体" w:hAnsi="黑体" w:cs="宋体" w:hint="eastAsia"/>
          <w:sz w:val="44"/>
          <w:szCs w:val="44"/>
        </w:rPr>
        <w:t>双通道靶控注射泵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6918B5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6918B5" w:rsidRPr="006918B5">
        <w:rPr>
          <w:rFonts w:hint="eastAsia"/>
          <w:sz w:val="24"/>
          <w:szCs w:val="24"/>
        </w:rPr>
        <w:t>双通道靶控注射泵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6918B5">
        <w:rPr>
          <w:sz w:val="24"/>
          <w:szCs w:val="24"/>
        </w:rPr>
        <w:t>38000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6918B5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麻醉</w:t>
            </w:r>
            <w:r w:rsidR="00831776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3" w:type="dxa"/>
            <w:vAlign w:val="center"/>
          </w:tcPr>
          <w:p w:rsidR="00903385" w:rsidRPr="00FD0666" w:rsidRDefault="006918B5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18B5">
              <w:rPr>
                <w:rFonts w:hint="eastAsia"/>
                <w:sz w:val="24"/>
                <w:szCs w:val="24"/>
              </w:rPr>
              <w:t>双通道靶控注射泵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03385" w:rsidRPr="00344E47" w:rsidRDefault="006918B5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831776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6918B5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</w:t>
            </w:r>
          </w:p>
        </w:tc>
        <w:tc>
          <w:tcPr>
            <w:tcW w:w="1418" w:type="dxa"/>
            <w:vAlign w:val="center"/>
          </w:tcPr>
          <w:p w:rsidR="00903385" w:rsidRPr="00344E47" w:rsidRDefault="006918B5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A205E4" w:rsidRDefault="00A205E4" w:rsidP="00A205E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把控泵技术参数要求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cs="仿宋" w:hint="eastAsia"/>
          <w:sz w:val="24"/>
          <w:szCs w:val="24"/>
        </w:rPr>
        <w:t>1.</w:t>
      </w:r>
      <w:r w:rsidRPr="00A205E4">
        <w:rPr>
          <w:rFonts w:ascii="宋体" w:hAnsi="宋体" w:hint="eastAsia"/>
          <w:sz w:val="24"/>
          <w:szCs w:val="24"/>
        </w:rPr>
        <w:t>模块式设计，无需附件可实现多泵叠加使用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2.注射精度≤±2% 或0.005mL/h取大者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3.速率范围：0.1-1500ml/h, 最小步进0.01ml/h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4.预置输液总量范围：0.1-9999.99ml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5.快进流速范围：0.11-1500ml/h，具有自动和手动快进可选；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6.KVO：0.1-5ml/h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7.支持注射器规格：5ml、10ml、20ml、30ml、50/60ml；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8.具有速度模式、体重模式、TCI模式；其中TCI模式必须提供CFDA二类注册证明文件</w:t>
      </w:r>
    </w:p>
    <w:p w:rsidR="00A205E4" w:rsidRPr="00A205E4" w:rsidRDefault="00A205E4" w:rsidP="00A205E4">
      <w:pPr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9.TCI模式支持三种药物：丙泊酚，瑞芬太尼，苏芬太尼，支持丙泊酚小儿药代模型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10.TCI模式支持自动诱导、定时诱导、平滑诱导和分段诱导四种诱导方式</w:t>
      </w:r>
    </w:p>
    <w:p w:rsidR="00A205E4" w:rsidRPr="00A205E4" w:rsidRDefault="00A205E4" w:rsidP="00A205E4">
      <w:pPr>
        <w:ind w:leftChars="100" w:left="450" w:hangingChars="100" w:hanging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lastRenderedPageBreak/>
        <w:t>11.不小于3.5英寸彩色大屏幕，同屏显示：输注模式、速度、当前注射状态、电池状态、报警压力阈值和在线压力等信息；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12.全中文软件操作界面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13.锁屏功能：支持自动锁屏，自动锁屏时间可调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14.TCI模式下，可在不中断输液的情况下更改目标靶浓度；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15.TCI模式下，可随时锁定Ce值，将当前的Ce值作为目标靶浓度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16.分低级、中级、高级三级报警。可实现声光报警提示，同时显示具体报警信息；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17.立体凸起式报警灯设计，水平面报警观察范围可达270度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18在线动态压力监测，可实时显示当前压力数值；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19.压力报警阈值至少11档可调，最低150mmHg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20.信息储存：可存储2000条的历史记录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21.电池工作时间≥10小时@5ml/h；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22.支持不拆机手动更换电池；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23.接口支持RS232数据传输、护士呼叫、DC输入功能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24.防异物及进液等级IP23</w:t>
      </w:r>
    </w:p>
    <w:p w:rsidR="00A205E4" w:rsidRPr="00A205E4" w:rsidRDefault="00A205E4" w:rsidP="00A205E4">
      <w:pPr>
        <w:ind w:firstLineChars="100" w:firstLine="240"/>
        <w:rPr>
          <w:rFonts w:ascii="宋体" w:hAnsi="宋体"/>
          <w:sz w:val="24"/>
          <w:szCs w:val="24"/>
        </w:rPr>
      </w:pPr>
      <w:r w:rsidRPr="00A205E4">
        <w:rPr>
          <w:rFonts w:ascii="宋体" w:hAnsi="宋体" w:hint="eastAsia"/>
          <w:sz w:val="24"/>
          <w:szCs w:val="24"/>
        </w:rPr>
        <w:t>25.注射泵推杆无皮套设计，更易清洁，符合院感要求</w:t>
      </w: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831776">
        <w:rPr>
          <w:rFonts w:ascii="宋体" w:hAnsi="宋体" w:cs="宋体"/>
          <w:sz w:val="24"/>
          <w:szCs w:val="24"/>
        </w:rPr>
        <w:t>12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AA59A1">
        <w:rPr>
          <w:rFonts w:ascii="宋体" w:hAnsi="宋体" w:cs="宋体"/>
          <w:sz w:val="24"/>
          <w:szCs w:val="24"/>
        </w:rPr>
        <w:t>6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A205E4" w:rsidRDefault="00A205E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205E4" w:rsidRDefault="00A205E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205E4" w:rsidRDefault="00A205E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205E4" w:rsidRDefault="00A205E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205E4" w:rsidRDefault="00A205E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205E4" w:rsidRDefault="00A205E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205E4" w:rsidRDefault="00A205E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9F" w:rsidRDefault="00AB259F">
      <w:r>
        <w:separator/>
      </w:r>
    </w:p>
  </w:endnote>
  <w:endnote w:type="continuationSeparator" w:id="0">
    <w:p w:rsidR="00AB259F" w:rsidRDefault="00AB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9F" w:rsidRDefault="00AB259F">
      <w:r>
        <w:separator/>
      </w:r>
    </w:p>
  </w:footnote>
  <w:footnote w:type="continuationSeparator" w:id="0">
    <w:p w:rsidR="00AB259F" w:rsidRDefault="00AB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24E7"/>
    <w:rsid w:val="0026503E"/>
    <w:rsid w:val="00282E52"/>
    <w:rsid w:val="0032350D"/>
    <w:rsid w:val="003A16A9"/>
    <w:rsid w:val="00441FA1"/>
    <w:rsid w:val="004E2085"/>
    <w:rsid w:val="00511BF6"/>
    <w:rsid w:val="005804BB"/>
    <w:rsid w:val="005C7CFF"/>
    <w:rsid w:val="00601B26"/>
    <w:rsid w:val="00640FCF"/>
    <w:rsid w:val="006918B5"/>
    <w:rsid w:val="006B0BBF"/>
    <w:rsid w:val="006E13F2"/>
    <w:rsid w:val="00767283"/>
    <w:rsid w:val="007863F3"/>
    <w:rsid w:val="00831776"/>
    <w:rsid w:val="00837806"/>
    <w:rsid w:val="008905D8"/>
    <w:rsid w:val="008C4202"/>
    <w:rsid w:val="00903385"/>
    <w:rsid w:val="00A205E4"/>
    <w:rsid w:val="00A23344"/>
    <w:rsid w:val="00A62D98"/>
    <w:rsid w:val="00A95A41"/>
    <w:rsid w:val="00AA59A1"/>
    <w:rsid w:val="00AB259F"/>
    <w:rsid w:val="00AF5EE8"/>
    <w:rsid w:val="00B415EB"/>
    <w:rsid w:val="00B45C1D"/>
    <w:rsid w:val="00B86D09"/>
    <w:rsid w:val="00CF32E8"/>
    <w:rsid w:val="00D228B5"/>
    <w:rsid w:val="00D8538D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F229E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2022-11-29T08:32:00Z</dcterms:created>
  <dcterms:modified xsi:type="dcterms:W3CDTF">2022-11-29T08:32:00Z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