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3B140E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3B140E">
        <w:rPr>
          <w:rFonts w:ascii="黑体" w:eastAsia="黑体" w:hAnsi="黑体" w:cs="宋体" w:hint="eastAsia"/>
          <w:kern w:val="0"/>
          <w:sz w:val="44"/>
          <w:szCs w:val="44"/>
        </w:rPr>
        <w:t>麻醉深度监测</w:t>
      </w:r>
      <w:proofErr w:type="gramStart"/>
      <w:r w:rsidRPr="003B140E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3B140E" w:rsidRPr="003B140E">
        <w:rPr>
          <w:rFonts w:hint="eastAsia"/>
          <w:sz w:val="24"/>
          <w:szCs w:val="24"/>
        </w:rPr>
        <w:t>麻醉深度监测仪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</w:t>
      </w:r>
      <w:r w:rsidR="003B140E">
        <w:rPr>
          <w:sz w:val="24"/>
          <w:szCs w:val="24"/>
        </w:rPr>
        <w:t>00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7A0D11"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7A0D11">
        <w:tc>
          <w:tcPr>
            <w:tcW w:w="993" w:type="dxa"/>
            <w:vAlign w:val="center"/>
          </w:tcPr>
          <w:p w:rsidR="00685B42" w:rsidRDefault="003B140E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麻醉科</w:t>
            </w:r>
          </w:p>
        </w:tc>
        <w:tc>
          <w:tcPr>
            <w:tcW w:w="3260" w:type="dxa"/>
            <w:vAlign w:val="center"/>
          </w:tcPr>
          <w:p w:rsidR="00685B42" w:rsidRPr="00E56A79" w:rsidRDefault="003B140E" w:rsidP="00E56A79">
            <w:pPr>
              <w:widowControl/>
              <w:rPr>
                <w:sz w:val="24"/>
                <w:szCs w:val="24"/>
              </w:rPr>
            </w:pPr>
            <w:r w:rsidRPr="003B140E">
              <w:rPr>
                <w:rFonts w:hint="eastAsia"/>
                <w:sz w:val="24"/>
                <w:szCs w:val="24"/>
              </w:rPr>
              <w:t>麻醉深度监测仪</w:t>
            </w:r>
          </w:p>
        </w:tc>
        <w:tc>
          <w:tcPr>
            <w:tcW w:w="709" w:type="dxa"/>
            <w:vAlign w:val="center"/>
          </w:tcPr>
          <w:p w:rsidR="00685B42" w:rsidRDefault="003B1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3B140E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418" w:type="dxa"/>
            <w:vAlign w:val="center"/>
          </w:tcPr>
          <w:p w:rsidR="00685B42" w:rsidRDefault="007A0D11" w:rsidP="003B1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140E">
              <w:rPr>
                <w:sz w:val="24"/>
                <w:szCs w:val="24"/>
              </w:rPr>
              <w:t>0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956BDF" w:rsidRDefault="00956BDF" w:rsidP="00956BD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</w:t>
      </w:r>
      <w:r w:rsidR="006D1306" w:rsidRPr="00956BDF">
        <w:rPr>
          <w:rFonts w:ascii="宋体" w:hAnsi="宋体" w:cs="宋体" w:hint="eastAsia"/>
          <w:sz w:val="24"/>
          <w:szCs w:val="24"/>
        </w:rPr>
        <w:t>参数</w:t>
      </w:r>
      <w:r w:rsidR="006D1306" w:rsidRPr="00956BDF">
        <w:rPr>
          <w:rFonts w:ascii="宋体" w:hAnsi="宋体" w:cs="宋体"/>
          <w:sz w:val="24"/>
          <w:szCs w:val="24"/>
        </w:rPr>
        <w:t>要求</w:t>
      </w:r>
    </w:p>
    <w:p w:rsidR="00383890" w:rsidRPr="00B54057" w:rsidRDefault="00383890" w:rsidP="00383890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▲</w:t>
      </w:r>
      <w:r w:rsidRPr="00B54057">
        <w:rPr>
          <w:rFonts w:hint="eastAsia"/>
          <w:sz w:val="24"/>
          <w:szCs w:val="24"/>
        </w:rPr>
        <w:t>1</w:t>
      </w:r>
      <w:r w:rsidRPr="00B54057">
        <w:rPr>
          <w:rFonts w:hint="eastAsia"/>
          <w:sz w:val="24"/>
          <w:szCs w:val="24"/>
        </w:rPr>
        <w:t>、监测仪：一体机（非模块或插件式），Ⅲ</w:t>
      </w:r>
      <w:proofErr w:type="gramStart"/>
      <w:r w:rsidRPr="00B54057">
        <w:rPr>
          <w:rFonts w:hint="eastAsia"/>
          <w:sz w:val="24"/>
          <w:szCs w:val="24"/>
        </w:rPr>
        <w:t>类注册</w:t>
      </w:r>
      <w:proofErr w:type="gramEnd"/>
      <w:r w:rsidRPr="00B54057">
        <w:rPr>
          <w:rFonts w:hint="eastAsia"/>
          <w:sz w:val="24"/>
          <w:szCs w:val="24"/>
        </w:rPr>
        <w:t>证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2</w:t>
      </w:r>
      <w:r w:rsidRPr="00B54057">
        <w:rPr>
          <w:rFonts w:hint="eastAsia"/>
          <w:sz w:val="24"/>
          <w:szCs w:val="24"/>
        </w:rPr>
        <w:t>、麻醉意识指数：实时，范围</w:t>
      </w:r>
      <w:r w:rsidRPr="00B54057">
        <w:rPr>
          <w:sz w:val="24"/>
          <w:szCs w:val="24"/>
        </w:rPr>
        <w:t>0~99%</w:t>
      </w:r>
      <w:r w:rsidRPr="00B54057">
        <w:rPr>
          <w:rFonts w:hint="eastAsia"/>
          <w:sz w:val="24"/>
          <w:szCs w:val="24"/>
        </w:rPr>
        <w:t>（从无脑电信号</w:t>
      </w:r>
      <w:r w:rsidRPr="00B54057">
        <w:rPr>
          <w:sz w:val="24"/>
          <w:szCs w:val="24"/>
        </w:rPr>
        <w:t>~</w:t>
      </w:r>
      <w:r w:rsidRPr="00B54057">
        <w:rPr>
          <w:rFonts w:hint="eastAsia"/>
          <w:sz w:val="24"/>
          <w:szCs w:val="24"/>
        </w:rPr>
        <w:t>完全清醒）显示实时患者镇静、催眠程度</w:t>
      </w:r>
      <w:r w:rsidRPr="00B54057">
        <w:rPr>
          <w:sz w:val="24"/>
          <w:szCs w:val="24"/>
        </w:rPr>
        <w:t>(</w:t>
      </w:r>
      <w:proofErr w:type="gramStart"/>
      <w:r w:rsidRPr="00B54057">
        <w:rPr>
          <w:rFonts w:hint="eastAsia"/>
          <w:sz w:val="24"/>
          <w:szCs w:val="24"/>
        </w:rPr>
        <w:t>含以下</w:t>
      </w:r>
      <w:proofErr w:type="gramEnd"/>
      <w:r w:rsidRPr="00B54057">
        <w:rPr>
          <w:rFonts w:hint="eastAsia"/>
          <w:sz w:val="24"/>
          <w:szCs w:val="24"/>
        </w:rPr>
        <w:t>不同厂家的指数简称</w:t>
      </w:r>
      <w:r w:rsidRPr="00B54057">
        <w:rPr>
          <w:sz w:val="24"/>
          <w:szCs w:val="24"/>
        </w:rPr>
        <w:t>:BIS</w:t>
      </w:r>
      <w:r w:rsidRPr="00B54057">
        <w:rPr>
          <w:rFonts w:hint="eastAsia"/>
          <w:sz w:val="24"/>
          <w:szCs w:val="24"/>
        </w:rPr>
        <w:t>、</w:t>
      </w:r>
      <w:r w:rsidRPr="00B54057">
        <w:rPr>
          <w:sz w:val="24"/>
          <w:szCs w:val="24"/>
        </w:rPr>
        <w:t>Ai</w:t>
      </w:r>
      <w:r w:rsidRPr="00B54057">
        <w:rPr>
          <w:rFonts w:hint="eastAsia"/>
          <w:sz w:val="24"/>
          <w:szCs w:val="24"/>
        </w:rPr>
        <w:t>、</w:t>
      </w:r>
      <w:r w:rsidRPr="00B54057">
        <w:rPr>
          <w:sz w:val="24"/>
          <w:szCs w:val="24"/>
        </w:rPr>
        <w:t>CBS</w:t>
      </w:r>
      <w:r w:rsidRPr="00B54057">
        <w:rPr>
          <w:rFonts w:hint="eastAsia"/>
          <w:sz w:val="24"/>
          <w:szCs w:val="24"/>
        </w:rPr>
        <w:t>、</w:t>
      </w:r>
      <w:r w:rsidRPr="00B54057">
        <w:rPr>
          <w:sz w:val="24"/>
          <w:szCs w:val="24"/>
        </w:rPr>
        <w:t>CSI</w:t>
      </w:r>
      <w:r w:rsidRPr="00B54057">
        <w:rPr>
          <w:rFonts w:hint="eastAsia"/>
          <w:sz w:val="24"/>
          <w:szCs w:val="24"/>
        </w:rPr>
        <w:t>、</w:t>
      </w:r>
      <w:r w:rsidRPr="00B54057">
        <w:rPr>
          <w:sz w:val="24"/>
          <w:szCs w:val="24"/>
        </w:rPr>
        <w:t>L0C)</w:t>
      </w:r>
      <w:r w:rsidRPr="00B54057">
        <w:rPr>
          <w:rFonts w:hint="eastAsia"/>
          <w:sz w:val="24"/>
          <w:szCs w:val="24"/>
        </w:rPr>
        <w:t>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3</w:t>
      </w:r>
      <w:r w:rsidRPr="00B54057">
        <w:rPr>
          <w:rFonts w:hint="eastAsia"/>
          <w:sz w:val="24"/>
          <w:szCs w:val="24"/>
        </w:rPr>
        <w:t>、信号质量指数：范围</w:t>
      </w:r>
      <w:r w:rsidRPr="00B54057">
        <w:rPr>
          <w:sz w:val="24"/>
          <w:szCs w:val="24"/>
        </w:rPr>
        <w:t>0~100%</w:t>
      </w:r>
      <w:r w:rsidRPr="00B54057">
        <w:rPr>
          <w:rFonts w:hint="eastAsia"/>
          <w:sz w:val="24"/>
          <w:szCs w:val="24"/>
        </w:rPr>
        <w:t>（</w:t>
      </w:r>
      <w:r w:rsidRPr="00B54057">
        <w:rPr>
          <w:sz w:val="24"/>
          <w:szCs w:val="24"/>
        </w:rPr>
        <w:t>0</w:t>
      </w:r>
      <w:r w:rsidRPr="00B54057">
        <w:rPr>
          <w:rFonts w:hint="eastAsia"/>
          <w:sz w:val="24"/>
          <w:szCs w:val="24"/>
        </w:rPr>
        <w:t>格</w:t>
      </w:r>
      <w:r w:rsidRPr="00B54057">
        <w:rPr>
          <w:sz w:val="24"/>
          <w:szCs w:val="24"/>
        </w:rPr>
        <w:t>-5</w:t>
      </w:r>
      <w:r w:rsidRPr="00B54057">
        <w:rPr>
          <w:rFonts w:hint="eastAsia"/>
          <w:sz w:val="24"/>
          <w:szCs w:val="24"/>
        </w:rPr>
        <w:t>格），实时监测记录脑电信号质量。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肌电指数：实时监测范围</w:t>
      </w:r>
      <w:r w:rsidRPr="00B54057">
        <w:rPr>
          <w:sz w:val="24"/>
          <w:szCs w:val="24"/>
        </w:rPr>
        <w:t>0-100%</w:t>
      </w:r>
      <w:r w:rsidRPr="00B54057">
        <w:rPr>
          <w:rFonts w:hint="eastAsia"/>
          <w:sz w:val="24"/>
          <w:szCs w:val="24"/>
        </w:rPr>
        <w:t>（</w:t>
      </w:r>
      <w:r w:rsidRPr="00B54057">
        <w:rPr>
          <w:sz w:val="24"/>
          <w:szCs w:val="24"/>
        </w:rPr>
        <w:t>70~110Hz</w:t>
      </w:r>
      <w:r w:rsidRPr="00B54057">
        <w:rPr>
          <w:rFonts w:hint="eastAsia"/>
          <w:sz w:val="24"/>
          <w:szCs w:val="24"/>
        </w:rPr>
        <w:t>肌电强度），提供肌电活动和干扰的参考依据。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lastRenderedPageBreak/>
        <w:t>4</w:t>
      </w:r>
      <w:r w:rsidRPr="00B54057">
        <w:rPr>
          <w:rFonts w:hint="eastAsia"/>
          <w:sz w:val="24"/>
          <w:szCs w:val="24"/>
        </w:rPr>
        <w:t>、爆发抑制比：范围</w:t>
      </w:r>
      <w:r w:rsidRPr="00B54057">
        <w:rPr>
          <w:sz w:val="24"/>
          <w:szCs w:val="24"/>
        </w:rPr>
        <w:t>0</w:t>
      </w:r>
      <w:r w:rsidRPr="00B54057">
        <w:rPr>
          <w:rFonts w:hint="eastAsia"/>
          <w:sz w:val="24"/>
          <w:szCs w:val="24"/>
        </w:rPr>
        <w:t>～</w:t>
      </w:r>
      <w:r w:rsidRPr="00B54057">
        <w:rPr>
          <w:sz w:val="24"/>
          <w:szCs w:val="24"/>
        </w:rPr>
        <w:t>100</w:t>
      </w:r>
      <w:r w:rsidRPr="00B54057">
        <w:rPr>
          <w:rFonts w:hint="eastAsia"/>
          <w:sz w:val="24"/>
          <w:szCs w:val="24"/>
        </w:rPr>
        <w:t>％，实时监测记录爆发抑制情况，为过深麻醉和镇静提供定量参考数据，保证麻醉安全。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▲</w:t>
      </w:r>
      <w:r w:rsidRPr="00B54057">
        <w:rPr>
          <w:rFonts w:hint="eastAsia"/>
          <w:sz w:val="24"/>
          <w:szCs w:val="24"/>
        </w:rPr>
        <w:t>5</w:t>
      </w:r>
      <w:r w:rsidRPr="00B54057">
        <w:rPr>
          <w:rFonts w:hint="eastAsia"/>
          <w:sz w:val="24"/>
          <w:szCs w:val="24"/>
        </w:rPr>
        <w:t>、频谱图：能显示单、双通道频谱图（密度谱阵列，</w:t>
      </w:r>
      <w:r w:rsidRPr="00B54057">
        <w:rPr>
          <w:sz w:val="24"/>
          <w:szCs w:val="24"/>
        </w:rPr>
        <w:t>DSA</w:t>
      </w:r>
      <w:r w:rsidRPr="00B54057">
        <w:rPr>
          <w:rFonts w:hint="eastAsia"/>
          <w:sz w:val="24"/>
          <w:szCs w:val="24"/>
        </w:rPr>
        <w:t>），频谱图对应的实时分析（重心频率、</w:t>
      </w:r>
      <w:r w:rsidRPr="00B54057">
        <w:rPr>
          <w:sz w:val="24"/>
          <w:szCs w:val="24"/>
        </w:rPr>
        <w:t>MDF</w:t>
      </w:r>
      <w:r w:rsidRPr="00B54057">
        <w:rPr>
          <w:rFonts w:hint="eastAsia"/>
          <w:sz w:val="24"/>
          <w:szCs w:val="24"/>
        </w:rPr>
        <w:t>）双通道模式下可显示（对称度指数，</w:t>
      </w:r>
      <w:r w:rsidRPr="00B54057">
        <w:rPr>
          <w:sz w:val="24"/>
          <w:szCs w:val="24"/>
        </w:rPr>
        <w:t>BSI</w:t>
      </w:r>
      <w:r w:rsidRPr="00B54057">
        <w:rPr>
          <w:rFonts w:hint="eastAsia"/>
          <w:sz w:val="24"/>
          <w:szCs w:val="24"/>
        </w:rPr>
        <w:t>）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趋势图：实时显示单、双通道脑镇定程度的量化指数的变化趋势，显示整个麻醉过程中患者镇静、催眠程度的动态变化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6</w:t>
      </w:r>
      <w:r w:rsidRPr="00B54057">
        <w:rPr>
          <w:rFonts w:hint="eastAsia"/>
          <w:sz w:val="24"/>
          <w:szCs w:val="24"/>
        </w:rPr>
        <w:t>、数据存储、导出功能：可存储数据和趋势图形，所有数据能通过</w:t>
      </w:r>
      <w:r w:rsidRPr="00B54057">
        <w:rPr>
          <w:sz w:val="24"/>
          <w:szCs w:val="24"/>
        </w:rPr>
        <w:t xml:space="preserve"> USB </w:t>
      </w:r>
      <w:r w:rsidRPr="00B54057">
        <w:rPr>
          <w:rFonts w:hint="eastAsia"/>
          <w:sz w:val="24"/>
          <w:szCs w:val="24"/>
        </w:rPr>
        <w:t>端口输出下载。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7</w:t>
      </w:r>
      <w:r w:rsidRPr="00B54057">
        <w:rPr>
          <w:rFonts w:hint="eastAsia"/>
          <w:sz w:val="24"/>
          <w:szCs w:val="24"/>
        </w:rPr>
        <w:t>、打印功能：可通过移动存储器打印分析数据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8</w:t>
      </w:r>
      <w:r w:rsidRPr="00B54057">
        <w:rPr>
          <w:rFonts w:hint="eastAsia"/>
          <w:sz w:val="24"/>
          <w:szCs w:val="24"/>
        </w:rPr>
        <w:t>、报警限制功能：可调设高、低限报警数值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9</w:t>
      </w:r>
      <w:r w:rsidRPr="00B54057">
        <w:rPr>
          <w:rFonts w:hint="eastAsia"/>
          <w:sz w:val="24"/>
          <w:szCs w:val="24"/>
        </w:rPr>
        <w:t>、患者连线信息提示：提示问题信息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10</w:t>
      </w:r>
      <w:r w:rsidRPr="00B54057">
        <w:rPr>
          <w:rFonts w:hint="eastAsia"/>
          <w:sz w:val="24"/>
          <w:szCs w:val="24"/>
        </w:rPr>
        <w:t>、传感器数据显示功能：显示传感器上每一编号电极的电阻值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11</w:t>
      </w:r>
      <w:r w:rsidRPr="00B54057">
        <w:rPr>
          <w:rFonts w:hint="eastAsia"/>
          <w:sz w:val="24"/>
          <w:szCs w:val="24"/>
        </w:rPr>
        <w:t>、传感器自检功能：自动提示检测传感器的实时信息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12</w:t>
      </w:r>
      <w:r w:rsidRPr="00B54057">
        <w:rPr>
          <w:rFonts w:hint="eastAsia"/>
          <w:sz w:val="24"/>
          <w:szCs w:val="24"/>
        </w:rPr>
        <w:t>、使用模式：麻醉科、</w:t>
      </w:r>
      <w:r w:rsidRPr="00B54057">
        <w:rPr>
          <w:sz w:val="24"/>
          <w:szCs w:val="24"/>
        </w:rPr>
        <w:t>ICU</w:t>
      </w:r>
      <w:r w:rsidRPr="00B54057">
        <w:rPr>
          <w:rFonts w:hint="eastAsia"/>
          <w:sz w:val="24"/>
          <w:szCs w:val="24"/>
        </w:rPr>
        <w:t>、术后恢复室等均可使用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13</w:t>
      </w:r>
      <w:r w:rsidRPr="00B54057">
        <w:rPr>
          <w:rFonts w:hint="eastAsia"/>
          <w:sz w:val="24"/>
          <w:szCs w:val="24"/>
        </w:rPr>
        <w:t>、系统自检功能：主机、麻醉深度导联线、传感器顺序自检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14</w:t>
      </w:r>
      <w:r w:rsidRPr="00B54057">
        <w:rPr>
          <w:rFonts w:hint="eastAsia"/>
          <w:sz w:val="24"/>
          <w:szCs w:val="24"/>
        </w:rPr>
        <w:t>、保存设置功能：保存当前设置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15</w:t>
      </w:r>
      <w:r w:rsidRPr="00B54057">
        <w:rPr>
          <w:rFonts w:hint="eastAsia"/>
          <w:sz w:val="24"/>
          <w:szCs w:val="24"/>
        </w:rPr>
        <w:t>、电池工作时间：提供大于</w:t>
      </w:r>
      <w:r w:rsidRPr="00B54057">
        <w:rPr>
          <w:sz w:val="24"/>
          <w:szCs w:val="24"/>
        </w:rPr>
        <w:t>1</w:t>
      </w:r>
      <w:r w:rsidRPr="00B54057">
        <w:rPr>
          <w:rFonts w:hint="eastAsia"/>
          <w:sz w:val="24"/>
          <w:szCs w:val="24"/>
        </w:rPr>
        <w:t>小时的工作时间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16</w:t>
      </w:r>
      <w:r w:rsidRPr="00B54057">
        <w:rPr>
          <w:rFonts w:hint="eastAsia"/>
          <w:sz w:val="24"/>
          <w:szCs w:val="24"/>
        </w:rPr>
        <w:t>、故障报警功能：提供运行中故障诊断及报警提示功能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17</w:t>
      </w:r>
      <w:r w:rsidRPr="00B54057">
        <w:rPr>
          <w:rFonts w:hint="eastAsia"/>
          <w:sz w:val="24"/>
          <w:szCs w:val="24"/>
        </w:rPr>
        <w:t>、抗干扰能力：主机对干扰波装有硬件、软件过滤器，传感器双通道抗电刀干扰设计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18</w:t>
      </w:r>
      <w:r w:rsidRPr="00B54057">
        <w:rPr>
          <w:rFonts w:hint="eastAsia"/>
          <w:sz w:val="24"/>
          <w:szCs w:val="24"/>
        </w:rPr>
        <w:t>、终身免费软件版本升级，具有功能拓展能力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19</w:t>
      </w:r>
      <w:r w:rsidRPr="00B54057">
        <w:rPr>
          <w:rFonts w:hint="eastAsia"/>
          <w:sz w:val="24"/>
          <w:szCs w:val="24"/>
        </w:rPr>
        <w:t>、具有病例演示功能</w:t>
      </w:r>
      <w:r w:rsidRPr="00B54057">
        <w:rPr>
          <w:rFonts w:hint="eastAsia"/>
          <w:sz w:val="24"/>
          <w:szCs w:val="24"/>
        </w:rPr>
        <w:t xml:space="preserve"> 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20</w:t>
      </w:r>
      <w:r w:rsidRPr="00B54057">
        <w:rPr>
          <w:rFonts w:hint="eastAsia"/>
          <w:sz w:val="24"/>
          <w:szCs w:val="24"/>
        </w:rPr>
        <w:t>、内置数据回放：可回放历史数据（可存储大于</w:t>
      </w:r>
      <w:r w:rsidRPr="00B54057">
        <w:rPr>
          <w:sz w:val="24"/>
          <w:szCs w:val="24"/>
        </w:rPr>
        <w:t>4500</w:t>
      </w:r>
      <w:r w:rsidRPr="00B54057">
        <w:rPr>
          <w:rFonts w:hint="eastAsia"/>
          <w:sz w:val="24"/>
          <w:szCs w:val="24"/>
        </w:rPr>
        <w:t>小时数据）</w:t>
      </w:r>
      <w:bookmarkStart w:id="0" w:name="_Toc275594100"/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21</w:t>
      </w:r>
      <w:r w:rsidRPr="00B54057">
        <w:rPr>
          <w:rFonts w:hint="eastAsia"/>
          <w:sz w:val="24"/>
          <w:szCs w:val="24"/>
        </w:rPr>
        <w:t>、显示屏：</w:t>
      </w:r>
      <w:r w:rsidRPr="00B54057">
        <w:rPr>
          <w:sz w:val="24"/>
          <w:szCs w:val="24"/>
        </w:rPr>
        <w:t>≥</w:t>
      </w:r>
      <w:r w:rsidRPr="00B54057">
        <w:rPr>
          <w:rFonts w:hint="eastAsia"/>
          <w:sz w:val="24"/>
          <w:szCs w:val="24"/>
        </w:rPr>
        <w:t>10</w:t>
      </w:r>
      <w:r w:rsidRPr="00B54057">
        <w:rPr>
          <w:rFonts w:hint="eastAsia"/>
          <w:sz w:val="24"/>
          <w:szCs w:val="24"/>
        </w:rPr>
        <w:t>寸，电容触摸屏；分辨率≥</w:t>
      </w:r>
      <w:r w:rsidRPr="00B54057">
        <w:rPr>
          <w:rFonts w:hint="eastAsia"/>
          <w:sz w:val="24"/>
          <w:szCs w:val="24"/>
        </w:rPr>
        <w:t>1024*768</w:t>
      </w:r>
      <w:r w:rsidRPr="00B54057">
        <w:rPr>
          <w:rFonts w:hint="eastAsia"/>
          <w:sz w:val="24"/>
          <w:szCs w:val="24"/>
        </w:rPr>
        <w:t>点阵</w:t>
      </w:r>
      <w:bookmarkEnd w:id="0"/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22</w:t>
      </w:r>
      <w:r w:rsidRPr="00B54057">
        <w:rPr>
          <w:rFonts w:hint="eastAsia"/>
          <w:sz w:val="24"/>
          <w:szCs w:val="24"/>
        </w:rPr>
        <w:t>、输入信号范围：±</w:t>
      </w:r>
      <w:r w:rsidRPr="00B54057">
        <w:rPr>
          <w:rFonts w:hint="eastAsia"/>
          <w:sz w:val="24"/>
          <w:szCs w:val="24"/>
        </w:rPr>
        <w:t>1mV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23</w:t>
      </w:r>
      <w:r w:rsidRPr="00B54057">
        <w:rPr>
          <w:rFonts w:hint="eastAsia"/>
          <w:sz w:val="24"/>
          <w:szCs w:val="24"/>
        </w:rPr>
        <w:t>、输入阻抗：≥</w:t>
      </w:r>
      <w:r w:rsidRPr="00B54057">
        <w:rPr>
          <w:rFonts w:hint="eastAsia"/>
          <w:sz w:val="24"/>
          <w:szCs w:val="24"/>
        </w:rPr>
        <w:t>55 M</w:t>
      </w:r>
      <w:r w:rsidRPr="00B54057">
        <w:rPr>
          <w:rFonts w:hint="eastAsia"/>
          <w:sz w:val="24"/>
          <w:szCs w:val="24"/>
        </w:rPr>
        <w:t>Ω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24</w:t>
      </w:r>
      <w:r w:rsidRPr="00B54057">
        <w:rPr>
          <w:rFonts w:hint="eastAsia"/>
          <w:sz w:val="24"/>
          <w:szCs w:val="24"/>
        </w:rPr>
        <w:t>、前端采样率：≥</w:t>
      </w:r>
      <w:r w:rsidRPr="00B54057">
        <w:rPr>
          <w:rFonts w:hint="eastAsia"/>
          <w:sz w:val="24"/>
          <w:szCs w:val="24"/>
        </w:rPr>
        <w:t>16K</w:t>
      </w:r>
      <w:r w:rsidRPr="00B54057">
        <w:rPr>
          <w:rFonts w:hint="eastAsia"/>
          <w:sz w:val="24"/>
          <w:szCs w:val="24"/>
        </w:rPr>
        <w:t>（</w:t>
      </w:r>
      <w:r w:rsidRPr="00B54057">
        <w:rPr>
          <w:rFonts w:hint="eastAsia"/>
          <w:sz w:val="24"/>
          <w:szCs w:val="24"/>
        </w:rPr>
        <w:t>16000</w:t>
      </w:r>
      <w:r w:rsidRPr="00B54057">
        <w:rPr>
          <w:rFonts w:hint="eastAsia"/>
          <w:sz w:val="24"/>
          <w:szCs w:val="24"/>
        </w:rPr>
        <w:t>）样本</w:t>
      </w:r>
      <w:r w:rsidRPr="00B54057">
        <w:rPr>
          <w:rFonts w:hint="eastAsia"/>
          <w:sz w:val="24"/>
          <w:szCs w:val="24"/>
        </w:rPr>
        <w:t>/</w:t>
      </w:r>
      <w:r w:rsidRPr="00B54057">
        <w:rPr>
          <w:rFonts w:hint="eastAsia"/>
          <w:sz w:val="24"/>
          <w:szCs w:val="24"/>
        </w:rPr>
        <w:t>秒</w:t>
      </w:r>
    </w:p>
    <w:p w:rsidR="006D1306" w:rsidRPr="00956BDF" w:rsidRDefault="00383890" w:rsidP="00B54057">
      <w:pPr>
        <w:rPr>
          <w:rFonts w:ascii="宋体" w:hAnsi="宋体" w:cs="宋体"/>
          <w:sz w:val="24"/>
          <w:szCs w:val="24"/>
        </w:rPr>
      </w:pPr>
      <w:r w:rsidRPr="00B54057">
        <w:rPr>
          <w:rFonts w:hint="eastAsia"/>
          <w:sz w:val="24"/>
          <w:szCs w:val="24"/>
        </w:rPr>
        <w:t>25</w:t>
      </w:r>
      <w:r w:rsidRPr="00B54057">
        <w:rPr>
          <w:rFonts w:hint="eastAsia"/>
          <w:sz w:val="24"/>
          <w:szCs w:val="24"/>
        </w:rPr>
        <w:t>、电极</w:t>
      </w:r>
      <w:proofErr w:type="gramStart"/>
      <w:r w:rsidRPr="00B54057">
        <w:rPr>
          <w:rFonts w:hint="eastAsia"/>
          <w:sz w:val="24"/>
          <w:szCs w:val="24"/>
        </w:rPr>
        <w:t>片要求</w:t>
      </w:r>
      <w:proofErr w:type="gramEnd"/>
      <w:r w:rsidRPr="00B54057">
        <w:rPr>
          <w:rFonts w:hint="eastAsia"/>
          <w:sz w:val="24"/>
          <w:szCs w:val="24"/>
        </w:rPr>
        <w:t>能采集双侧大脑的脑电信号。如涉及专用耗材，请在投标文件中进行报价。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★</w:t>
      </w:r>
      <w:r w:rsidRPr="00B54057">
        <w:rPr>
          <w:sz w:val="24"/>
          <w:szCs w:val="24"/>
        </w:rPr>
        <w:t>1</w:t>
      </w:r>
      <w:r w:rsidRPr="00B54057">
        <w:rPr>
          <w:rFonts w:hint="eastAsia"/>
          <w:sz w:val="24"/>
          <w:szCs w:val="24"/>
        </w:rPr>
        <w:t>、投标供应商所投产品技术参数符合性条款审查，如有二条（及以上）重要（“▲”号）条款明显偏离或普通条款</w:t>
      </w:r>
      <w:r w:rsidRPr="00B54057">
        <w:rPr>
          <w:sz w:val="24"/>
          <w:szCs w:val="24"/>
        </w:rPr>
        <w:t>3</w:t>
      </w:r>
      <w:r w:rsidRPr="00B54057">
        <w:rPr>
          <w:rFonts w:hint="eastAsia"/>
          <w:sz w:val="24"/>
          <w:szCs w:val="24"/>
        </w:rPr>
        <w:t>条（及以上）偏离，所投产品将视为不符合使用科室需求，该投标将视为无效投标。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sz w:val="24"/>
          <w:szCs w:val="24"/>
        </w:rPr>
        <w:t>2</w:t>
      </w:r>
      <w:r w:rsidRPr="00B54057">
        <w:rPr>
          <w:rFonts w:hint="eastAsia"/>
          <w:sz w:val="24"/>
          <w:szCs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B54057">
        <w:rPr>
          <w:sz w:val="24"/>
          <w:szCs w:val="24"/>
        </w:rPr>
        <w:t>+</w:t>
      </w:r>
      <w:r w:rsidRPr="00B54057">
        <w:rPr>
          <w:rFonts w:hint="eastAsia"/>
          <w:sz w:val="24"/>
          <w:szCs w:val="24"/>
        </w:rPr>
        <w:t>与技术参数相关的页面）原件扫描件、由产品制造商加盖公章的产品技术参数证明书，否则视同为负偏离。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3</w:t>
      </w:r>
      <w:r w:rsidRPr="00B54057">
        <w:rPr>
          <w:rFonts w:hint="eastAsia"/>
          <w:sz w:val="24"/>
          <w:szCs w:val="24"/>
        </w:rPr>
        <w:t>、驻地以上城市具有厂家备件库及售后服务工程师，支持安装、调试及维修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4</w:t>
      </w:r>
      <w:r w:rsidRPr="00B54057">
        <w:rPr>
          <w:rFonts w:hint="eastAsia"/>
          <w:sz w:val="24"/>
          <w:szCs w:val="24"/>
        </w:rPr>
        <w:t>、厂家提供操作人员的外出培训或现场操作培训</w:t>
      </w:r>
      <w:r w:rsidRPr="00B54057">
        <w:rPr>
          <w:sz w:val="24"/>
          <w:szCs w:val="24"/>
        </w:rPr>
        <w:t>.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5</w:t>
      </w:r>
      <w:r w:rsidRPr="00B54057">
        <w:rPr>
          <w:rFonts w:hint="eastAsia"/>
          <w:sz w:val="24"/>
          <w:szCs w:val="24"/>
        </w:rPr>
        <w:t>、本项目要求提供生产日期为</w:t>
      </w:r>
      <w:r w:rsidRPr="00B54057">
        <w:rPr>
          <w:rFonts w:hint="eastAsia"/>
          <w:sz w:val="24"/>
          <w:szCs w:val="24"/>
        </w:rPr>
        <w:t>6</w:t>
      </w:r>
      <w:r w:rsidRPr="00B54057">
        <w:rPr>
          <w:rFonts w:hint="eastAsia"/>
          <w:sz w:val="24"/>
          <w:szCs w:val="24"/>
        </w:rPr>
        <w:t>个月内的设备</w:t>
      </w:r>
      <w:r w:rsidRPr="00B54057">
        <w:rPr>
          <w:sz w:val="24"/>
          <w:szCs w:val="24"/>
        </w:rPr>
        <w:t>,</w:t>
      </w:r>
      <w:r w:rsidRPr="00B54057">
        <w:rPr>
          <w:rFonts w:hint="eastAsia"/>
          <w:sz w:val="24"/>
          <w:szCs w:val="24"/>
        </w:rPr>
        <w:t>设备使用年限≥</w:t>
      </w:r>
      <w:r w:rsidRPr="00B54057">
        <w:rPr>
          <w:sz w:val="24"/>
          <w:szCs w:val="24"/>
        </w:rPr>
        <w:t>8</w:t>
      </w:r>
      <w:r w:rsidRPr="00B54057">
        <w:rPr>
          <w:rFonts w:hint="eastAsia"/>
          <w:sz w:val="24"/>
          <w:szCs w:val="24"/>
        </w:rPr>
        <w:t>年（提供佐证）。</w:t>
      </w:r>
    </w:p>
    <w:p w:rsidR="00383890" w:rsidRPr="00B54057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6</w:t>
      </w:r>
      <w:r w:rsidRPr="00B54057">
        <w:rPr>
          <w:rFonts w:hint="eastAsia"/>
          <w:sz w:val="24"/>
          <w:szCs w:val="24"/>
        </w:rPr>
        <w:t>、质保期大于或等于</w:t>
      </w:r>
      <w:r w:rsidRPr="00B54057">
        <w:rPr>
          <w:sz w:val="24"/>
          <w:szCs w:val="24"/>
        </w:rPr>
        <w:t>2</w:t>
      </w:r>
      <w:r w:rsidRPr="00B54057">
        <w:rPr>
          <w:rFonts w:hint="eastAsia"/>
          <w:sz w:val="24"/>
          <w:szCs w:val="24"/>
        </w:rPr>
        <w:t>年，质保期从验收合格后开始计算。质保期内所有软件维护、升级和设备维护等要求免费上门服务。</w:t>
      </w:r>
    </w:p>
    <w:p w:rsidR="006D1306" w:rsidRDefault="00383890" w:rsidP="00B54057">
      <w:pPr>
        <w:rPr>
          <w:sz w:val="24"/>
          <w:szCs w:val="24"/>
        </w:rPr>
      </w:pPr>
      <w:r w:rsidRPr="00B54057">
        <w:rPr>
          <w:rFonts w:hint="eastAsia"/>
          <w:sz w:val="24"/>
          <w:szCs w:val="24"/>
        </w:rPr>
        <w:t>7</w:t>
      </w:r>
      <w:r w:rsidRPr="00B54057">
        <w:rPr>
          <w:rFonts w:hint="eastAsia"/>
          <w:sz w:val="24"/>
          <w:szCs w:val="24"/>
        </w:rPr>
        <w:t>、提供设备标准配置清单，涉及耗材及易损</w:t>
      </w:r>
      <w:proofErr w:type="gramStart"/>
      <w:r w:rsidRPr="00B54057">
        <w:rPr>
          <w:rFonts w:hint="eastAsia"/>
          <w:sz w:val="24"/>
          <w:szCs w:val="24"/>
        </w:rPr>
        <w:t>件提供</w:t>
      </w:r>
      <w:proofErr w:type="gramEnd"/>
      <w:r w:rsidRPr="00B54057">
        <w:rPr>
          <w:rFonts w:hint="eastAsia"/>
          <w:sz w:val="24"/>
          <w:szCs w:val="24"/>
        </w:rPr>
        <w:t>清单分项报价。</w:t>
      </w:r>
    </w:p>
    <w:p w:rsidR="0070029C" w:rsidRPr="0070029C" w:rsidRDefault="0070029C" w:rsidP="0070029C">
      <w:pPr>
        <w:rPr>
          <w:rFonts w:hint="eastAsia"/>
          <w:sz w:val="24"/>
          <w:szCs w:val="24"/>
        </w:rPr>
      </w:pPr>
      <w:r w:rsidRPr="0070029C">
        <w:rPr>
          <w:rFonts w:hint="eastAsia"/>
          <w:sz w:val="24"/>
          <w:szCs w:val="24"/>
        </w:rPr>
        <w:t>8</w:t>
      </w:r>
      <w:r w:rsidRPr="0070029C">
        <w:rPr>
          <w:rFonts w:hint="eastAsia"/>
          <w:sz w:val="24"/>
          <w:szCs w:val="24"/>
        </w:rPr>
        <w:t>、所投设备须免费接入医院内网络信息系统（</w:t>
      </w:r>
      <w:r w:rsidRPr="0070029C">
        <w:rPr>
          <w:rFonts w:hint="eastAsia"/>
          <w:sz w:val="24"/>
          <w:szCs w:val="24"/>
        </w:rPr>
        <w:t>PACS</w:t>
      </w:r>
      <w:r w:rsidRPr="0070029C">
        <w:rPr>
          <w:rFonts w:hint="eastAsia"/>
          <w:sz w:val="24"/>
          <w:szCs w:val="24"/>
        </w:rPr>
        <w:t>、</w:t>
      </w:r>
      <w:r w:rsidRPr="0070029C">
        <w:rPr>
          <w:rFonts w:hint="eastAsia"/>
          <w:sz w:val="24"/>
          <w:szCs w:val="24"/>
        </w:rPr>
        <w:t>LIS</w:t>
      </w:r>
      <w:r w:rsidRPr="0070029C">
        <w:rPr>
          <w:rFonts w:hint="eastAsia"/>
          <w:sz w:val="24"/>
          <w:szCs w:val="24"/>
        </w:rPr>
        <w:t>、</w:t>
      </w:r>
      <w:r w:rsidRPr="0070029C">
        <w:rPr>
          <w:rFonts w:hint="eastAsia"/>
          <w:sz w:val="24"/>
          <w:szCs w:val="24"/>
        </w:rPr>
        <w:t>HIS</w:t>
      </w:r>
      <w:r w:rsidRPr="0070029C">
        <w:rPr>
          <w:rFonts w:hint="eastAsia"/>
          <w:sz w:val="24"/>
          <w:szCs w:val="24"/>
        </w:rPr>
        <w:t>等），其网络接入</w:t>
      </w:r>
      <w:r w:rsidRPr="0070029C">
        <w:rPr>
          <w:rFonts w:hint="eastAsia"/>
          <w:sz w:val="24"/>
          <w:szCs w:val="24"/>
        </w:rPr>
        <w:lastRenderedPageBreak/>
        <w:t>或接口相关费用由中标人承担，采购人不承担任何费用。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  <w:bookmarkStart w:id="1" w:name="_GoBack"/>
      <w:bookmarkEnd w:id="1"/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2A3E0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077985">
        <w:rPr>
          <w:sz w:val="24"/>
          <w:szCs w:val="24"/>
        </w:rPr>
        <w:t>30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Default="00A56AA4" w:rsidP="00A56AA4"/>
    <w:p w:rsidR="00A56AA4" w:rsidRDefault="00A56AA4" w:rsidP="00A56AA4">
      <w:pPr>
        <w:pStyle w:val="2"/>
      </w:pPr>
    </w:p>
    <w:p w:rsidR="00A56AA4" w:rsidRPr="00A56AA4" w:rsidRDefault="00A56AA4" w:rsidP="00A56AA4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53" w:rsidRDefault="00C66F53">
      <w:r>
        <w:separator/>
      </w:r>
    </w:p>
  </w:endnote>
  <w:endnote w:type="continuationSeparator" w:id="0">
    <w:p w:rsidR="00C66F53" w:rsidRDefault="00C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53" w:rsidRDefault="00C66F53">
      <w:r>
        <w:separator/>
      </w:r>
    </w:p>
  </w:footnote>
  <w:footnote w:type="continuationSeparator" w:id="0">
    <w:p w:rsidR="00C66F53" w:rsidRDefault="00C6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412F4B">
      <w:t>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1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029C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3DE5"/>
    <w:rsid w:val="00826B60"/>
    <w:rsid w:val="00837806"/>
    <w:rsid w:val="008501D2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70045"/>
    <w:rsid w:val="00997A3E"/>
    <w:rsid w:val="009A033D"/>
    <w:rsid w:val="009A23CD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52C36"/>
    <w:rsid w:val="00B54057"/>
    <w:rsid w:val="00B5460B"/>
    <w:rsid w:val="00B57902"/>
    <w:rsid w:val="00B725FF"/>
    <w:rsid w:val="00B735B3"/>
    <w:rsid w:val="00B7406C"/>
    <w:rsid w:val="00B846B7"/>
    <w:rsid w:val="00B872C4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66F53"/>
    <w:rsid w:val="00C740B7"/>
    <w:rsid w:val="00C75E6F"/>
    <w:rsid w:val="00C80A2A"/>
    <w:rsid w:val="00C86ECE"/>
    <w:rsid w:val="00C93182"/>
    <w:rsid w:val="00C964DE"/>
    <w:rsid w:val="00CA4161"/>
    <w:rsid w:val="00CA6DED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1702F7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3FB9-7E9C-49AC-998E-1336E7C8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13</Pages>
  <Words>615</Words>
  <Characters>3509</Characters>
  <Application>Microsoft Office Word</Application>
  <DocSecurity>0</DocSecurity>
  <Lines>29</Lines>
  <Paragraphs>8</Paragraphs>
  <ScaleCrop>false</ScaleCrop>
  <Company>微软中国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199</cp:revision>
  <dcterms:created xsi:type="dcterms:W3CDTF">2024-07-18T02:43:00Z</dcterms:created>
  <dcterms:modified xsi:type="dcterms:W3CDTF">2025-10-30T07:14:00Z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